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EE815">
      <w:pPr>
        <w:spacing w:before="0" w:line="577" w:lineRule="exact"/>
        <w:ind w:left="3035" w:right="3035" w:firstLine="0"/>
        <w:jc w:val="center"/>
        <w:rPr>
          <w:rFonts w:hint="eastAsia" w:ascii="黑体" w:hAnsi="黑体" w:eastAsia="黑体" w:cs="华文黑体"/>
          <w:bCs/>
          <w:color w:val="auto"/>
          <w:kern w:val="2"/>
          <w:sz w:val="40"/>
          <w:szCs w:val="28"/>
          <w:lang w:val="en-US" w:eastAsia="zh-CN" w:bidi="ar-SA"/>
        </w:rPr>
      </w:pPr>
      <w:r>
        <w:rPr>
          <w:rFonts w:hint="eastAsia" w:ascii="黑体" w:hAnsi="黑体" w:eastAsia="黑体" w:cs="华文黑体"/>
          <w:bCs/>
          <w:color w:val="auto"/>
          <w:kern w:val="2"/>
          <w:sz w:val="40"/>
          <w:szCs w:val="28"/>
          <w:lang w:val="en-US" w:eastAsia="zh-CN" w:bidi="ar-SA"/>
        </w:rPr>
        <w:t>建设工程监理合同</w:t>
      </w:r>
    </w:p>
    <w:p w14:paraId="71822951">
      <w:pPr>
        <w:pStyle w:val="5"/>
        <w:spacing w:before="0"/>
        <w:ind w:left="0"/>
        <w:rPr>
          <w:rFonts w:ascii="方正楷体_GBK"/>
          <w:sz w:val="20"/>
        </w:rPr>
      </w:pPr>
    </w:p>
    <w:p w14:paraId="2CCC3070">
      <w:pPr>
        <w:tabs>
          <w:tab w:val="left" w:pos="4932"/>
        </w:tabs>
        <w:spacing w:before="3"/>
        <w:ind w:left="3532"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第一部分</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协议书</w:t>
      </w:r>
    </w:p>
    <w:p w14:paraId="4BAA466E">
      <w:pPr>
        <w:pStyle w:val="5"/>
        <w:spacing w:before="0"/>
        <w:ind w:left="0"/>
        <w:rPr>
          <w:rFonts w:hint="eastAsia" w:ascii="仿宋_GB2312" w:hAnsi="仿宋_GB2312" w:eastAsia="仿宋_GB2312" w:cs="仿宋_GB2312"/>
          <w:sz w:val="28"/>
          <w:szCs w:val="28"/>
        </w:rPr>
      </w:pPr>
    </w:p>
    <w:p w14:paraId="73DBA47E">
      <w:pPr>
        <w:pStyle w:val="5"/>
        <w:keepNext w:val="0"/>
        <w:keepLines w:val="0"/>
        <w:pageBreakBefore w:val="0"/>
        <w:widowControl w:val="0"/>
        <w:tabs>
          <w:tab w:val="left" w:pos="918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委托人</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lang w:val="en-US" w:eastAsia="zh-CN"/>
        </w:rPr>
        <w:t>甲方</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（全称</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z w:val="28"/>
          <w:szCs w:val="28"/>
        </w:rPr>
        <w:tab/>
      </w:r>
    </w:p>
    <w:p w14:paraId="42B6BB89">
      <w:pPr>
        <w:pStyle w:val="5"/>
        <w:keepNext w:val="0"/>
        <w:keepLines w:val="0"/>
        <w:pageBreakBefore w:val="0"/>
        <w:widowControl w:val="0"/>
        <w:tabs>
          <w:tab w:val="left" w:pos="918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监理人</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lang w:val="en-US" w:eastAsia="zh-CN"/>
        </w:rPr>
        <w:t>乙方</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（全称</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z w:val="28"/>
          <w:szCs w:val="28"/>
        </w:rPr>
        <w:tab/>
      </w:r>
    </w:p>
    <w:p w14:paraId="10652508">
      <w:pPr>
        <w:pStyle w:val="5"/>
        <w:keepNext w:val="0"/>
        <w:keepLines w:val="0"/>
        <w:pageBreakBefore w:val="0"/>
        <w:widowControl w:val="0"/>
        <w:tabs>
          <w:tab w:val="left" w:pos="918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根据有关法律、法规，遵循平等、自愿、公平和诚信的原则，双方就下述工程委托监理与相关服务事项协商一致，订立本合同。</w:t>
      </w:r>
    </w:p>
    <w:p w14:paraId="3619E9A1">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一、工程概况</w:t>
      </w:r>
    </w:p>
    <w:p w14:paraId="724D5289">
      <w:pPr>
        <w:pStyle w:val="9"/>
        <w:keepNext w:val="0"/>
        <w:keepLines w:val="0"/>
        <w:pageBreakBefore w:val="0"/>
        <w:widowControl w:val="0"/>
        <w:numPr>
          <w:ilvl w:val="0"/>
          <w:numId w:val="1"/>
        </w:numPr>
        <w:tabs>
          <w:tab w:val="left" w:pos="775"/>
          <w:tab w:val="left" w:pos="907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工程名称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034069E9">
      <w:pPr>
        <w:pStyle w:val="9"/>
        <w:keepNext w:val="0"/>
        <w:keepLines w:val="0"/>
        <w:pageBreakBefore w:val="0"/>
        <w:widowControl w:val="0"/>
        <w:numPr>
          <w:ilvl w:val="0"/>
          <w:numId w:val="1"/>
        </w:numPr>
        <w:tabs>
          <w:tab w:val="left" w:pos="775"/>
          <w:tab w:val="left" w:pos="907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工程地点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DEA30BE">
      <w:pPr>
        <w:pStyle w:val="9"/>
        <w:keepNext w:val="0"/>
        <w:keepLines w:val="0"/>
        <w:pageBreakBefore w:val="0"/>
        <w:widowControl w:val="0"/>
        <w:numPr>
          <w:ilvl w:val="0"/>
          <w:numId w:val="1"/>
        </w:numPr>
        <w:tabs>
          <w:tab w:val="left" w:pos="775"/>
          <w:tab w:val="left" w:pos="907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工程规模</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D31830A">
      <w:pPr>
        <w:pStyle w:val="9"/>
        <w:keepNext w:val="0"/>
        <w:keepLines w:val="0"/>
        <w:pageBreakBefore w:val="0"/>
        <w:widowControl w:val="0"/>
        <w:numPr>
          <w:ilvl w:val="0"/>
          <w:numId w:val="1"/>
        </w:numPr>
        <w:tabs>
          <w:tab w:val="left" w:pos="775"/>
          <w:tab w:val="left" w:pos="907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工程概算投资额或建筑安装工程费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E49BF02">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二、词语限定</w:t>
      </w:r>
    </w:p>
    <w:p w14:paraId="4723A4B3">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协议书中相关词语的含义与通用条件中的定义与解释相同。</w:t>
      </w:r>
    </w:p>
    <w:p w14:paraId="1C23886F">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三、组成本合同的文件</w:t>
      </w:r>
    </w:p>
    <w:p w14:paraId="681DCC7A">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协议书；</w:t>
      </w:r>
    </w:p>
    <w:p w14:paraId="6339EB8F">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中标通知书（适用于招标工程）或委托书（适用于非招标工程</w:t>
      </w:r>
      <w:r>
        <w:rPr>
          <w:rFonts w:hint="eastAsia" w:ascii="仿宋_GB2312" w:hAnsi="仿宋_GB2312" w:eastAsia="仿宋_GB2312" w:cs="仿宋_GB2312"/>
          <w:color w:val="231F20"/>
          <w:spacing w:val="-28"/>
          <w:sz w:val="28"/>
          <w:szCs w:val="28"/>
        </w:rPr>
        <w:t>）；</w:t>
      </w:r>
    </w:p>
    <w:p w14:paraId="717B018A">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投标文件（适用于招标工程）或监理与相关服务建议书（适用于非招标工程</w:t>
      </w:r>
      <w:r>
        <w:rPr>
          <w:rFonts w:hint="eastAsia" w:ascii="仿宋_GB2312" w:hAnsi="仿宋_GB2312" w:eastAsia="仿宋_GB2312" w:cs="仿宋_GB2312"/>
          <w:color w:val="231F20"/>
          <w:spacing w:val="-28"/>
          <w:sz w:val="28"/>
          <w:szCs w:val="28"/>
        </w:rPr>
        <w:t>）；</w:t>
      </w:r>
    </w:p>
    <w:p w14:paraId="38759099">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专用条件；</w:t>
      </w:r>
    </w:p>
    <w:p w14:paraId="3EF30E4B">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通用条件；</w:t>
      </w:r>
    </w:p>
    <w:p w14:paraId="3F42E0F4">
      <w:pPr>
        <w:pStyle w:val="9"/>
        <w:keepNext w:val="0"/>
        <w:keepLines w:val="0"/>
        <w:pageBreakBefore w:val="0"/>
        <w:widowControl w:val="0"/>
        <w:numPr>
          <w:ilvl w:val="0"/>
          <w:numId w:val="2"/>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附录，即：</w:t>
      </w:r>
    </w:p>
    <w:p w14:paraId="7806A768">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附录 A  相关服务的范围和内容</w:t>
      </w:r>
    </w:p>
    <w:p w14:paraId="59A6A6A3">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附录 B  委托人派遣的人员和提供的房屋、资料、设备</w:t>
      </w:r>
    </w:p>
    <w:p w14:paraId="11348A8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本合同签订后，双方依法签订的补充协议也是本合同文件的组成部分。</w:t>
      </w:r>
    </w:p>
    <w:p w14:paraId="031FC17E">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sectPr>
          <w:footerReference r:id="rId5" w:type="default"/>
          <w:footerReference r:id="rId6" w:type="even"/>
          <w:pgSz w:w="11910" w:h="16840"/>
          <w:pgMar w:top="1580" w:right="1200" w:bottom="1020" w:left="1300" w:header="0" w:footer="832" w:gutter="0"/>
          <w:cols w:space="720" w:num="1"/>
        </w:sectPr>
      </w:pPr>
    </w:p>
    <w:p w14:paraId="1294D93D">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四、总监理工程师</w:t>
      </w:r>
    </w:p>
    <w:p w14:paraId="654A428A">
      <w:pPr>
        <w:pStyle w:val="5"/>
        <w:keepNext w:val="0"/>
        <w:keepLines w:val="0"/>
        <w:pageBreakBefore w:val="0"/>
        <w:widowControl w:val="0"/>
        <w:tabs>
          <w:tab w:val="left" w:pos="3662"/>
          <w:tab w:val="left" w:pos="3879"/>
          <w:tab w:val="left" w:pos="8505"/>
        </w:tabs>
        <w:kinsoku/>
        <w:wordWrap/>
        <w:overflowPunct/>
        <w:topLinePunct w:val="0"/>
        <w:autoSpaceDE w:val="0"/>
        <w:autoSpaceDN w:val="0"/>
        <w:bidi w:val="0"/>
        <w:adjustRightInd/>
        <w:snapToGrid/>
        <w:spacing w:before="0" w:line="240" w:lineRule="auto"/>
        <w:ind w:left="0" w:right="0" w:firstLine="60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0"/>
          <w:sz w:val="28"/>
          <w:szCs w:val="28"/>
        </w:rPr>
        <w:t>总监理工程师姓</w:t>
      </w:r>
      <w:r>
        <w:rPr>
          <w:rFonts w:hint="eastAsia" w:ascii="仿宋_GB2312" w:hAnsi="仿宋_GB2312" w:eastAsia="仿宋_GB2312" w:cs="仿宋_GB2312"/>
          <w:color w:val="231F20"/>
          <w:sz w:val="28"/>
          <w:szCs w:val="28"/>
        </w:rPr>
        <w:t>名：</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pacing w:val="10"/>
          <w:sz w:val="28"/>
          <w:szCs w:val="28"/>
        </w:rPr>
        <w:t>，身份证号</w:t>
      </w:r>
      <w:r>
        <w:rPr>
          <w:rFonts w:hint="eastAsia" w:ascii="仿宋_GB2312" w:hAnsi="仿宋_GB2312" w:eastAsia="仿宋_GB2312" w:cs="仿宋_GB2312"/>
          <w:color w:val="231F20"/>
          <w:sz w:val="28"/>
          <w:szCs w:val="28"/>
        </w:rPr>
        <w:t>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pacing w:val="10"/>
          <w:sz w:val="28"/>
          <w:szCs w:val="28"/>
        </w:rPr>
        <w:t xml:space="preserve">，注册 </w:t>
      </w:r>
      <w:r>
        <w:rPr>
          <w:rFonts w:hint="eastAsia" w:ascii="仿宋_GB2312" w:hAnsi="仿宋_GB2312" w:eastAsia="仿宋_GB2312" w:cs="仿宋_GB2312"/>
          <w:color w:val="231F20"/>
          <w:sz w:val="28"/>
          <w:szCs w:val="28"/>
        </w:rPr>
        <w:t>号</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49020F75">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五、签约酬金</w:t>
      </w:r>
    </w:p>
    <w:p w14:paraId="0D4B0F34">
      <w:pPr>
        <w:pStyle w:val="5"/>
        <w:keepNext w:val="0"/>
        <w:keepLines w:val="0"/>
        <w:pageBreakBefore w:val="0"/>
        <w:widowControl w:val="0"/>
        <w:tabs>
          <w:tab w:val="left" w:pos="5047"/>
          <w:tab w:val="left" w:pos="5947"/>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签约酬金（大写</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pacing w:val="-28"/>
          <w:sz w:val="28"/>
          <w:szCs w:val="28"/>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。包括：</w:t>
      </w:r>
    </w:p>
    <w:p w14:paraId="392A640C">
      <w:pPr>
        <w:pStyle w:val="9"/>
        <w:keepNext w:val="0"/>
        <w:keepLines w:val="0"/>
        <w:pageBreakBefore w:val="0"/>
        <w:widowControl w:val="0"/>
        <w:numPr>
          <w:ilvl w:val="0"/>
          <w:numId w:val="3"/>
        </w:numPr>
        <w:tabs>
          <w:tab w:val="left" w:pos="775"/>
          <w:tab w:val="left" w:pos="6597"/>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7D9800FE">
      <w:pPr>
        <w:pStyle w:val="9"/>
        <w:keepNext w:val="0"/>
        <w:keepLines w:val="0"/>
        <w:pageBreakBefore w:val="0"/>
        <w:widowControl w:val="0"/>
        <w:numPr>
          <w:ilvl w:val="0"/>
          <w:numId w:val="3"/>
        </w:numPr>
        <w:tabs>
          <w:tab w:val="left" w:pos="775"/>
          <w:tab w:val="left" w:pos="6597"/>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。其中：</w:t>
      </w:r>
    </w:p>
    <w:p w14:paraId="31CA4618">
      <w:pPr>
        <w:pStyle w:val="5"/>
        <w:keepNext w:val="0"/>
        <w:keepLines w:val="0"/>
        <w:pageBreakBefore w:val="0"/>
        <w:widowControl w:val="0"/>
        <w:tabs>
          <w:tab w:val="left" w:pos="907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1）勘察阶段服务酬金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4A46F324">
      <w:pPr>
        <w:pStyle w:val="5"/>
        <w:keepNext w:val="0"/>
        <w:keepLines w:val="0"/>
        <w:pageBreakBefore w:val="0"/>
        <w:widowControl w:val="0"/>
        <w:tabs>
          <w:tab w:val="left" w:pos="907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2）设计阶段服务酬金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7F43B98C">
      <w:pPr>
        <w:pStyle w:val="5"/>
        <w:keepNext w:val="0"/>
        <w:keepLines w:val="0"/>
        <w:pageBreakBefore w:val="0"/>
        <w:widowControl w:val="0"/>
        <w:tabs>
          <w:tab w:val="left" w:pos="907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3）保修阶段服务酬金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3AF2FD3">
      <w:pPr>
        <w:pStyle w:val="5"/>
        <w:keepNext w:val="0"/>
        <w:keepLines w:val="0"/>
        <w:pageBreakBefore w:val="0"/>
        <w:widowControl w:val="0"/>
        <w:tabs>
          <w:tab w:val="left" w:pos="9078"/>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4）其他相关服务酬金</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543C4A5">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六、期限</w:t>
      </w:r>
    </w:p>
    <w:p w14:paraId="475EFDC0">
      <w:pPr>
        <w:pStyle w:val="9"/>
        <w:keepNext w:val="0"/>
        <w:keepLines w:val="0"/>
        <w:pageBreakBefore w:val="0"/>
        <w:widowControl w:val="0"/>
        <w:numPr>
          <w:ilvl w:val="0"/>
          <w:numId w:val="4"/>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监理期限：</w:t>
      </w:r>
    </w:p>
    <w:p w14:paraId="6D2FD69C">
      <w:pPr>
        <w:pStyle w:val="5"/>
        <w:keepNext w:val="0"/>
        <w:keepLines w:val="0"/>
        <w:pageBreakBefore w:val="0"/>
        <w:widowControl w:val="0"/>
        <w:tabs>
          <w:tab w:val="left" w:pos="1657"/>
          <w:tab w:val="left" w:pos="2317"/>
          <w:tab w:val="left" w:pos="2977"/>
          <w:tab w:val="left" w:pos="4791"/>
          <w:tab w:val="left" w:pos="5451"/>
          <w:tab w:val="left" w:pos="6111"/>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自</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日始，至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日止。</w:t>
      </w:r>
    </w:p>
    <w:p w14:paraId="2A02AD41">
      <w:pPr>
        <w:pStyle w:val="9"/>
        <w:keepNext w:val="0"/>
        <w:keepLines w:val="0"/>
        <w:pageBreakBefore w:val="0"/>
        <w:widowControl w:val="0"/>
        <w:numPr>
          <w:ilvl w:val="0"/>
          <w:numId w:val="4"/>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相关服务期限：</w:t>
      </w:r>
    </w:p>
    <w:p w14:paraId="6BBCFE6D">
      <w:pPr>
        <w:pStyle w:val="5"/>
        <w:keepNext w:val="0"/>
        <w:keepLines w:val="0"/>
        <w:pageBreakBefore w:val="0"/>
        <w:widowControl w:val="0"/>
        <w:tabs>
          <w:tab w:val="left" w:pos="3883"/>
          <w:tab w:val="left" w:pos="4543"/>
          <w:tab w:val="left" w:pos="5203"/>
          <w:tab w:val="left" w:pos="6963"/>
          <w:tab w:val="left" w:pos="7623"/>
          <w:tab w:val="left" w:pos="8283"/>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1）勘察阶段服务期限自</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日始，至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日止。</w:t>
      </w:r>
    </w:p>
    <w:p w14:paraId="6EE6294D">
      <w:pPr>
        <w:pStyle w:val="5"/>
        <w:keepNext w:val="0"/>
        <w:keepLines w:val="0"/>
        <w:pageBreakBefore w:val="0"/>
        <w:widowControl w:val="0"/>
        <w:tabs>
          <w:tab w:val="left" w:pos="3883"/>
          <w:tab w:val="left" w:pos="4543"/>
          <w:tab w:val="left" w:pos="5203"/>
          <w:tab w:val="left" w:pos="6963"/>
          <w:tab w:val="left" w:pos="7623"/>
          <w:tab w:val="left" w:pos="8283"/>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2）设计阶段服务期限自</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日始，至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日止。</w:t>
      </w:r>
    </w:p>
    <w:p w14:paraId="0B936392">
      <w:pPr>
        <w:pStyle w:val="5"/>
        <w:keepNext w:val="0"/>
        <w:keepLines w:val="0"/>
        <w:pageBreakBefore w:val="0"/>
        <w:widowControl w:val="0"/>
        <w:tabs>
          <w:tab w:val="left" w:pos="3883"/>
          <w:tab w:val="left" w:pos="4543"/>
          <w:tab w:val="left" w:pos="5203"/>
          <w:tab w:val="left" w:pos="6963"/>
          <w:tab w:val="left" w:pos="7623"/>
          <w:tab w:val="left" w:pos="8283"/>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3）保修阶段服务期限自</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日始，至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日止。</w:t>
      </w:r>
    </w:p>
    <w:p w14:paraId="4AF8973C">
      <w:pPr>
        <w:pStyle w:val="5"/>
        <w:keepNext w:val="0"/>
        <w:keepLines w:val="0"/>
        <w:pageBreakBefore w:val="0"/>
        <w:widowControl w:val="0"/>
        <w:tabs>
          <w:tab w:val="left" w:pos="3883"/>
          <w:tab w:val="left" w:pos="4543"/>
          <w:tab w:val="left" w:pos="5203"/>
          <w:tab w:val="left" w:pos="6963"/>
          <w:tab w:val="left" w:pos="7623"/>
          <w:tab w:val="left" w:pos="8283"/>
        </w:tabs>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4）其他相关服务期限自</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日始，至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日止。</w:t>
      </w:r>
    </w:p>
    <w:p w14:paraId="3402AD26">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七、双方承诺</w:t>
      </w:r>
    </w:p>
    <w:p w14:paraId="7F134289">
      <w:pPr>
        <w:pStyle w:val="9"/>
        <w:keepNext w:val="0"/>
        <w:keepLines w:val="0"/>
        <w:pageBreakBefore w:val="0"/>
        <w:widowControl w:val="0"/>
        <w:numPr>
          <w:ilvl w:val="0"/>
          <w:numId w:val="5"/>
        </w:numPr>
        <w:tabs>
          <w:tab w:val="left" w:pos="775"/>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监理人向委托人承诺，按照本合同约定提供监理与相关服务。</w:t>
      </w:r>
    </w:p>
    <w:p w14:paraId="456CF3FF">
      <w:pPr>
        <w:pStyle w:val="9"/>
        <w:keepNext w:val="0"/>
        <w:keepLines w:val="0"/>
        <w:pageBreakBefore w:val="0"/>
        <w:widowControl w:val="0"/>
        <w:numPr>
          <w:ilvl w:val="0"/>
          <w:numId w:val="5"/>
        </w:numPr>
        <w:tabs>
          <w:tab w:val="left" w:pos="794"/>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委托人向监理人承诺，按照本合同约定派遣相应的人员，提供房屋、资料、设备，并按本合同约定支付酬金。</w:t>
      </w:r>
    </w:p>
    <w:p w14:paraId="0FC6EB36">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八、合同订立</w:t>
      </w:r>
    </w:p>
    <w:p w14:paraId="20A08D97">
      <w:pPr>
        <w:pStyle w:val="9"/>
        <w:keepNext w:val="0"/>
        <w:keepLines w:val="0"/>
        <w:pageBreakBefore w:val="0"/>
        <w:widowControl w:val="0"/>
        <w:numPr>
          <w:ilvl w:val="0"/>
          <w:numId w:val="6"/>
        </w:numPr>
        <w:tabs>
          <w:tab w:val="left" w:pos="775"/>
          <w:tab w:val="left" w:pos="2699"/>
          <w:tab w:val="left" w:pos="3359"/>
          <w:tab w:val="left" w:pos="4019"/>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订立时间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p>
    <w:p w14:paraId="191180F6">
      <w:pPr>
        <w:pStyle w:val="9"/>
        <w:keepNext w:val="0"/>
        <w:keepLines w:val="0"/>
        <w:pageBreakBefore w:val="0"/>
        <w:widowControl w:val="0"/>
        <w:numPr>
          <w:ilvl w:val="0"/>
          <w:numId w:val="6"/>
        </w:numPr>
        <w:tabs>
          <w:tab w:val="left" w:pos="775"/>
          <w:tab w:val="left" w:pos="907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订立地点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4515B74D">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sectPr>
          <w:pgSz w:w="11910" w:h="16840"/>
          <w:pgMar w:top="1580" w:right="1200" w:bottom="1020" w:left="1300" w:header="0" w:footer="832" w:gutter="0"/>
          <w:cols w:space="720" w:num="1"/>
        </w:sectPr>
      </w:pPr>
    </w:p>
    <w:p w14:paraId="2A889A66">
      <w:pPr>
        <w:pStyle w:val="9"/>
        <w:keepNext w:val="0"/>
        <w:keepLines w:val="0"/>
        <w:pageBreakBefore w:val="0"/>
        <w:widowControl w:val="0"/>
        <w:numPr>
          <w:ilvl w:val="0"/>
          <w:numId w:val="6"/>
        </w:numPr>
        <w:tabs>
          <w:tab w:val="left" w:pos="775"/>
          <w:tab w:val="left" w:pos="2534"/>
          <w:tab w:val="left" w:pos="6494"/>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8"/>
          <w:szCs w:val="28"/>
        </w:rPr>
        <w:t>本合同一式</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份，具有同等法律效力，双方各执</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w:t>
      </w:r>
      <w:r>
        <w:rPr>
          <w:rFonts w:hint="eastAsia" w:ascii="仿宋_GB2312" w:hAnsi="仿宋_GB2312" w:eastAsia="仿宋_GB2312" w:cs="仿宋_GB2312"/>
          <w:color w:val="231F20"/>
          <w:sz w:val="22"/>
          <w:szCs w:val="22"/>
        </w:rPr>
        <w:t>。</w:t>
      </w:r>
    </w:p>
    <w:p w14:paraId="067E9359">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default" w:ascii="仿宋_GB2312" w:hAnsi="仿宋_GB2312" w:eastAsia="仿宋_GB2312" w:cs="仿宋_GB2312"/>
          <w:color w:val="231F20"/>
          <w:sz w:val="28"/>
          <w:szCs w:val="28"/>
          <w:lang w:val="en-US" w:eastAsia="zh-CN"/>
        </w:rPr>
      </w:pPr>
      <w:r>
        <w:rPr>
          <w:rFonts w:hint="eastAsia" w:ascii="仿宋_GB2312" w:hAnsi="仿宋_GB2312" w:eastAsia="仿宋_GB2312" w:cs="仿宋_GB2312"/>
          <w:color w:val="231F20"/>
          <w:sz w:val="28"/>
          <w:szCs w:val="28"/>
          <w:lang w:val="en-US" w:eastAsia="zh-CN"/>
        </w:rPr>
        <w:t>九、争议解决方式</w:t>
      </w:r>
    </w:p>
    <w:p w14:paraId="0EF3BD5D">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color w:val="231F20"/>
          <w:sz w:val="28"/>
          <w:szCs w:val="28"/>
          <w:u w:val="single"/>
        </w:rPr>
      </w:pPr>
      <w:r>
        <w:rPr>
          <w:rFonts w:hint="eastAsia" w:ascii="仿宋_GB2312" w:hAnsi="仿宋_GB2312" w:eastAsia="仿宋_GB2312" w:cs="仿宋_GB2312"/>
          <w:color w:val="231F20"/>
          <w:sz w:val="28"/>
          <w:szCs w:val="28"/>
          <w:u w:val="single"/>
        </w:rPr>
        <w:t>因本合同引起的或与本合同有关的任何争议，均提</w:t>
      </w:r>
      <w:r>
        <w:rPr>
          <w:rFonts w:hint="eastAsia" w:ascii="仿宋_GB2312" w:hAnsi="仿宋_GB2312" w:eastAsia="仿宋_GB2312" w:cs="仿宋_GB2312"/>
          <w:b/>
          <w:bCs/>
          <w:color w:val="231F20"/>
          <w:sz w:val="28"/>
          <w:szCs w:val="28"/>
          <w:u w:val="single"/>
        </w:rPr>
        <w:t>请绵阳仲裁委员会按照该会仲裁规则进行仲裁</w:t>
      </w:r>
      <w:r>
        <w:rPr>
          <w:rFonts w:hint="eastAsia" w:ascii="仿宋_GB2312" w:hAnsi="仿宋_GB2312" w:eastAsia="仿宋_GB2312" w:cs="仿宋_GB2312"/>
          <w:color w:val="231F20"/>
          <w:sz w:val="28"/>
          <w:szCs w:val="28"/>
          <w:u w:val="single"/>
        </w:rPr>
        <w:t>。仲裁裁决是终局的，对双方均有约束力。</w:t>
      </w:r>
    </w:p>
    <w:p w14:paraId="4CB715FC">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eastAsia" w:ascii="仿宋_GB2312" w:hAnsi="仿宋_GB2312" w:eastAsia="仿宋_GB2312" w:cs="仿宋_GB2312"/>
          <w:color w:val="231F20"/>
          <w:sz w:val="28"/>
          <w:szCs w:val="28"/>
        </w:rPr>
      </w:pPr>
    </w:p>
    <w:p w14:paraId="376F76D8">
      <w:pPr>
        <w:pStyle w:val="5"/>
        <w:keepNext w:val="0"/>
        <w:keepLines w:val="0"/>
        <w:pageBreakBefore w:val="0"/>
        <w:widowControl w:val="0"/>
        <w:tabs>
          <w:tab w:val="left" w:pos="1819"/>
          <w:tab w:val="left" w:pos="3293"/>
          <w:tab w:val="left" w:pos="5157"/>
          <w:tab w:val="left" w:pos="7299"/>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委托人</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（盖章）</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监理人</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（盖章）</w:t>
      </w:r>
      <w:r>
        <w:rPr>
          <w:rFonts w:hint="eastAsia" w:ascii="仿宋_GB2312" w:hAnsi="仿宋_GB2312" w:eastAsia="仿宋_GB2312" w:cs="仿宋_GB2312"/>
          <w:color w:val="231F20"/>
          <w:spacing w:val="-2"/>
          <w:sz w:val="22"/>
          <w:szCs w:val="22"/>
          <w:u w:val="single" w:color="231F20"/>
        </w:rPr>
        <w:t xml:space="preserve"> </w:t>
      </w:r>
    </w:p>
    <w:p w14:paraId="1C99CD28">
      <w:pPr>
        <w:pStyle w:val="5"/>
        <w:keepNext w:val="0"/>
        <w:keepLines w:val="0"/>
        <w:pageBreakBefore w:val="0"/>
        <w:widowControl w:val="0"/>
        <w:tabs>
          <w:tab w:val="left" w:pos="3283"/>
          <w:tab w:val="left" w:pos="5157"/>
          <w:tab w:val="left" w:pos="827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住所</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住所</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090386A4">
      <w:pPr>
        <w:pStyle w:val="5"/>
        <w:keepNext w:val="0"/>
        <w:keepLines w:val="0"/>
        <w:pageBreakBefore w:val="0"/>
        <w:widowControl w:val="0"/>
        <w:tabs>
          <w:tab w:val="left" w:pos="3290"/>
          <w:tab w:val="left" w:pos="5157"/>
          <w:tab w:val="left" w:pos="8380"/>
        </w:tabs>
        <w:kinsoku/>
        <w:wordWrap/>
        <w:overflowPunct/>
        <w:topLinePunct w:val="0"/>
        <w:autoSpaceDE w:val="0"/>
        <w:autoSpaceDN w:val="0"/>
        <w:bidi w:val="0"/>
        <w:adjustRightInd/>
        <w:snapToGrid/>
        <w:spacing w:line="319" w:lineRule="auto"/>
        <w:ind w:left="0" w:right="542"/>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法定代表人或其授</w:t>
      </w:r>
      <w:r>
        <w:rPr>
          <w:rFonts w:hint="eastAsia" w:ascii="仿宋_GB2312" w:hAnsi="仿宋_GB2312" w:eastAsia="仿宋_GB2312" w:cs="仿宋_GB2312"/>
          <w:color w:val="231F20"/>
          <w:spacing w:val="52"/>
          <w:sz w:val="22"/>
          <w:szCs w:val="22"/>
        </w:rPr>
        <w:t>权</w:t>
      </w:r>
      <w:r>
        <w:rPr>
          <w:rFonts w:hint="eastAsia" w:ascii="仿宋_GB2312" w:hAnsi="仿宋_GB2312" w:eastAsia="仿宋_GB2312" w:cs="仿宋_GB2312"/>
          <w:color w:val="231F20"/>
          <w:sz w:val="22"/>
          <w:szCs w:val="22"/>
        </w:rPr>
        <w:t>的代理人：</w:t>
      </w:r>
      <w:r>
        <w:rPr>
          <w:rFonts w:hint="eastAsia" w:ascii="仿宋_GB2312" w:hAnsi="仿宋_GB2312" w:eastAsia="仿宋_GB2312" w:cs="仿宋_GB2312"/>
          <w:color w:val="231F20"/>
          <w:sz w:val="22"/>
          <w:szCs w:val="22"/>
          <w:lang w:val="en-US" w:eastAsia="zh-CN"/>
        </w:rPr>
        <w:t xml:space="preserve">  </w:t>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法定代表人或其授权的代理人：</w:t>
      </w:r>
    </w:p>
    <w:p w14:paraId="497C08D3">
      <w:pPr>
        <w:pStyle w:val="5"/>
        <w:keepNext w:val="0"/>
        <w:keepLines w:val="0"/>
        <w:pageBreakBefore w:val="0"/>
        <w:widowControl w:val="0"/>
        <w:tabs>
          <w:tab w:val="left" w:pos="3352"/>
          <w:tab w:val="left" w:pos="3401"/>
          <w:tab w:val="left" w:pos="5157"/>
          <w:tab w:val="left" w:pos="6367"/>
          <w:tab w:val="left" w:pos="7898"/>
          <w:tab w:val="left" w:pos="8441"/>
        </w:tabs>
        <w:kinsoku/>
        <w:wordWrap/>
        <w:overflowPunct/>
        <w:topLinePunct w:val="0"/>
        <w:autoSpaceDE w:val="0"/>
        <w:autoSpaceDN w:val="0"/>
        <w:bidi w:val="0"/>
        <w:adjustRightInd/>
        <w:snapToGrid/>
        <w:spacing w:before="25" w:line="319" w:lineRule="auto"/>
        <w:ind w:left="0" w:right="481" w:firstLine="121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w:t>
      </w:r>
      <w:r>
        <w:rPr>
          <w:rFonts w:hint="eastAsia" w:ascii="仿宋_GB2312" w:hAnsi="仿宋_GB2312" w:eastAsia="仿宋_GB2312" w:cs="仿宋_GB2312"/>
          <w:color w:val="231F20"/>
          <w:sz w:val="22"/>
          <w:szCs w:val="22"/>
          <w:u w:val="single" w:color="231F20"/>
        </w:rPr>
        <w:t>签字）</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w:t>
      </w:r>
      <w:r>
        <w:rPr>
          <w:rFonts w:hint="eastAsia" w:ascii="仿宋_GB2312" w:hAnsi="仿宋_GB2312" w:eastAsia="仿宋_GB2312" w:cs="仿宋_GB2312"/>
          <w:color w:val="231F20"/>
          <w:sz w:val="22"/>
          <w:szCs w:val="22"/>
          <w:u w:val="single" w:color="231F20"/>
        </w:rPr>
        <w:t>签字）</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 xml:space="preserve">       开户银行</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开户银行</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p>
    <w:p w14:paraId="0FCA491A">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spacing w:before="25"/>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账号</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账号</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5E57FCB5">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电话</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电话</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451DA818">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传真</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传真</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05873173">
      <w:pPr>
        <w:pStyle w:val="5"/>
        <w:keepNext w:val="0"/>
        <w:keepLines w:val="0"/>
        <w:pageBreakBefore w:val="0"/>
        <w:widowControl w:val="0"/>
        <w:tabs>
          <w:tab w:val="left" w:pos="3347"/>
          <w:tab w:val="left" w:pos="5157"/>
          <w:tab w:val="left" w:pos="8495"/>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电子邮箱</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电子邮箱</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2FDAD824">
      <w:pPr>
        <w:spacing w:after="0"/>
        <w:jc w:val="both"/>
        <w:rPr>
          <w:rFonts w:hint="eastAsia" w:ascii="仿宋_GB2312" w:hAnsi="仿宋_GB2312" w:eastAsia="仿宋_GB2312" w:cs="仿宋_GB2312"/>
          <w:sz w:val="22"/>
          <w:szCs w:val="22"/>
        </w:rPr>
        <w:sectPr>
          <w:pgSz w:w="11910" w:h="16840"/>
          <w:pgMar w:top="1580" w:right="1680" w:bottom="1020" w:left="1300" w:header="0" w:footer="832" w:gutter="0"/>
          <w:cols w:space="720" w:num="1"/>
        </w:sectPr>
      </w:pPr>
    </w:p>
    <w:p w14:paraId="282E6CDA">
      <w:pPr>
        <w:pStyle w:val="5"/>
        <w:spacing w:before="0"/>
        <w:ind w:left="0"/>
        <w:rPr>
          <w:rFonts w:hint="eastAsia" w:ascii="仿宋_GB2312" w:hAnsi="仿宋_GB2312" w:eastAsia="仿宋_GB2312" w:cs="仿宋_GB2312"/>
          <w:sz w:val="22"/>
          <w:szCs w:val="22"/>
        </w:rPr>
      </w:pPr>
    </w:p>
    <w:p w14:paraId="4E36B575">
      <w:pPr>
        <w:pStyle w:val="5"/>
        <w:spacing w:before="0"/>
        <w:ind w:left="0"/>
        <w:rPr>
          <w:rFonts w:hint="eastAsia" w:ascii="仿宋_GB2312" w:hAnsi="仿宋_GB2312" w:eastAsia="仿宋_GB2312" w:cs="仿宋_GB2312"/>
          <w:sz w:val="22"/>
          <w:szCs w:val="22"/>
        </w:rPr>
      </w:pPr>
    </w:p>
    <w:p w14:paraId="247EE3ED">
      <w:pPr>
        <w:pStyle w:val="2"/>
        <w:tabs>
          <w:tab w:val="left" w:pos="1399"/>
        </w:tabs>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第二部分</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通用条件</w:t>
      </w:r>
    </w:p>
    <w:p w14:paraId="31B0B230">
      <w:pPr>
        <w:pStyle w:val="5"/>
        <w:spacing w:before="0"/>
        <w:ind w:left="0"/>
        <w:rPr>
          <w:rFonts w:hint="eastAsia" w:ascii="仿宋_GB2312" w:hAnsi="仿宋_GB2312" w:eastAsia="仿宋_GB2312" w:cs="仿宋_GB2312"/>
          <w:sz w:val="28"/>
          <w:szCs w:val="28"/>
        </w:rPr>
      </w:pPr>
    </w:p>
    <w:p w14:paraId="5D19583C">
      <w:pPr>
        <w:pStyle w:val="9"/>
        <w:keepNext w:val="0"/>
        <w:keepLines w:val="0"/>
        <w:pageBreakBefore w:val="0"/>
        <w:widowControl w:val="0"/>
        <w:numPr>
          <w:ilvl w:val="0"/>
          <w:numId w:val="7"/>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定义与解释</w:t>
      </w:r>
    </w:p>
    <w:p w14:paraId="01A6E357">
      <w:pPr>
        <w:pStyle w:val="9"/>
        <w:keepNext w:val="0"/>
        <w:keepLines w:val="0"/>
        <w:pageBreakBefore w:val="0"/>
        <w:widowControl w:val="0"/>
        <w:numPr>
          <w:ilvl w:val="1"/>
          <w:numId w:val="7"/>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定义</w:t>
      </w:r>
    </w:p>
    <w:p w14:paraId="4698CFD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除根据上下文</w:t>
      </w:r>
      <w:r>
        <w:rPr>
          <w:rFonts w:hint="eastAsia" w:ascii="仿宋_GB2312" w:hAnsi="仿宋_GB2312" w:eastAsia="仿宋_GB2312" w:cs="仿宋_GB2312"/>
          <w:color w:val="231F20"/>
          <w:sz w:val="28"/>
          <w:szCs w:val="28"/>
          <w:lang w:eastAsia="zh-CN"/>
        </w:rPr>
        <w:t>另有</w:t>
      </w:r>
      <w:r>
        <w:rPr>
          <w:rFonts w:hint="eastAsia" w:ascii="仿宋_GB2312" w:hAnsi="仿宋_GB2312" w:eastAsia="仿宋_GB2312" w:cs="仿宋_GB2312"/>
          <w:color w:val="231F20"/>
          <w:sz w:val="28"/>
          <w:szCs w:val="28"/>
        </w:rPr>
        <w:t>意义外，组成本合同的全部文件中的下列名词和用语应具有本款所赋予的含义：</w:t>
      </w:r>
    </w:p>
    <w:p w14:paraId="1F2B29FE">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“工程”是指按照本合同约定实施监理与相关服务的建设工程。</w:t>
      </w:r>
    </w:p>
    <w:p w14:paraId="3B2E0933">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“委托人”是指本合同中委托监理与相关服务的一方，及其合法的继承人或受让人。</w:t>
      </w:r>
    </w:p>
    <w:p w14:paraId="7F3FE9C7">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“监理人”是指本合同中提供监理与相关服务的一方，及其合法的继承人。</w:t>
      </w:r>
    </w:p>
    <w:p w14:paraId="27FB7732">
      <w:pPr>
        <w:pStyle w:val="9"/>
        <w:keepNext w:val="0"/>
        <w:keepLines w:val="0"/>
        <w:pageBreakBefore w:val="0"/>
        <w:widowControl w:val="0"/>
        <w:numPr>
          <w:ilvl w:val="2"/>
          <w:numId w:val="7"/>
        </w:numPr>
        <w:tabs>
          <w:tab w:val="left" w:pos="995"/>
        </w:tabs>
        <w:kinsoku/>
        <w:wordWrap/>
        <w:overflowPunct/>
        <w:topLinePunct w:val="0"/>
        <w:autoSpaceDE w:val="0"/>
        <w:autoSpaceDN w:val="0"/>
        <w:bidi w:val="0"/>
        <w:snapToGrid/>
        <w:spacing w:before="0" w:after="0" w:line="240" w:lineRule="auto"/>
        <w:ind w:left="0" w:right="0" w:firstLine="56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“承包人”是指在工程范围内与委托人签订勘察、设计、施工等有关合同的当事人 ，及其合法的继承人。</w:t>
      </w:r>
    </w:p>
    <w:p w14:paraId="70271D7B">
      <w:pPr>
        <w:pStyle w:val="9"/>
        <w:keepNext w:val="0"/>
        <w:keepLines w:val="0"/>
        <w:pageBreakBefore w:val="0"/>
        <w:widowControl w:val="0"/>
        <w:numPr>
          <w:ilvl w:val="2"/>
          <w:numId w:val="7"/>
        </w:numPr>
        <w:tabs>
          <w:tab w:val="left" w:pos="995"/>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3BC4EC0">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“相关服务”是指监理人受委托人的委托 ，按照本合同约定，在勘察、设计、保修等阶段提供的服务活动。</w:t>
      </w:r>
    </w:p>
    <w:p w14:paraId="2F9C4CF8">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“正常工作”指本合同订立时通用条件和专用条件中约定的监理人的工作。</w:t>
      </w:r>
    </w:p>
    <w:p w14:paraId="6C188D4E">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“附加工作”是指本合同约定的正常工作以外监理人的工作。</w:t>
      </w:r>
    </w:p>
    <w:p w14:paraId="7D2E210A">
      <w:pPr>
        <w:pStyle w:val="9"/>
        <w:keepNext w:val="0"/>
        <w:keepLines w:val="0"/>
        <w:pageBreakBefore w:val="0"/>
        <w:widowControl w:val="0"/>
        <w:numPr>
          <w:ilvl w:val="2"/>
          <w:numId w:val="7"/>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“项目监理机构”是指监理人派驻工程负责履行本合同的组织机构。</w:t>
      </w:r>
    </w:p>
    <w:p w14:paraId="0CFEFD74">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“总监理工程师”是指由监理人的法定代表人书面授权，全面负责履行本合同、主持项目监理机构工作的注册监理工程师。</w:t>
      </w:r>
    </w:p>
    <w:p w14:paraId="26B1187D">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“酬金”是指监理人履行本合同义务，委托人按照本合同约定给付监理人的金额。</w:t>
      </w:r>
    </w:p>
    <w:p w14:paraId="3F66BA28">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“正常工作酬金”是指监理人完成正常工作，委托人应给付监理人并在协议书中载明的签约酬金额。</w:t>
      </w:r>
    </w:p>
    <w:p w14:paraId="42202F17">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“附加工作酬金”是指监理人完成附加工作，委托人应给付监理人的金额。</w:t>
      </w:r>
    </w:p>
    <w:p w14:paraId="4D240C82">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“一方”是指委托人或监理人</w:t>
      </w:r>
      <w:r>
        <w:rPr>
          <w:rFonts w:hint="eastAsia" w:ascii="仿宋_GB2312" w:hAnsi="仿宋_GB2312" w:eastAsia="仿宋_GB2312" w:cs="仿宋_GB2312"/>
          <w:color w:val="231F20"/>
          <w:spacing w:val="-13"/>
          <w:sz w:val="28"/>
          <w:szCs w:val="28"/>
        </w:rPr>
        <w:t>；“双方”是指委托人和监理人</w:t>
      </w:r>
      <w:r>
        <w:rPr>
          <w:rFonts w:hint="eastAsia" w:ascii="仿宋_GB2312" w:hAnsi="仿宋_GB2312" w:eastAsia="仿宋_GB2312" w:cs="仿宋_GB2312"/>
          <w:color w:val="231F20"/>
          <w:spacing w:val="-16"/>
          <w:sz w:val="28"/>
          <w:szCs w:val="28"/>
        </w:rPr>
        <w:t>；“第三方”是指除委</w:t>
      </w:r>
      <w:r>
        <w:rPr>
          <w:rFonts w:hint="eastAsia" w:ascii="仿宋_GB2312" w:hAnsi="仿宋_GB2312" w:eastAsia="仿宋_GB2312" w:cs="仿宋_GB2312"/>
          <w:color w:val="231F20"/>
          <w:sz w:val="28"/>
          <w:szCs w:val="28"/>
        </w:rPr>
        <w:t>托人和监理人以外的有关方。</w:t>
      </w:r>
    </w:p>
    <w:p w14:paraId="6A818058">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“书面形式”是指合同书、信件和数据电文（包括电报、电传、传真、电子数据交换和电子邮件）等可以有形地表现所载内容的形式。</w:t>
      </w:r>
    </w:p>
    <w:p w14:paraId="6F48128E">
      <w:pPr>
        <w:keepNext w:val="0"/>
        <w:keepLines w:val="0"/>
        <w:pageBreakBefore w:val="0"/>
        <w:widowControl w:val="0"/>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sectPr>
          <w:pgSz w:w="11910" w:h="16840"/>
          <w:pgMar w:top="1580" w:right="1200" w:bottom="1020" w:left="1300" w:header="0" w:footer="832" w:gutter="0"/>
          <w:cols w:space="720" w:num="1"/>
        </w:sectPr>
      </w:pPr>
    </w:p>
    <w:p w14:paraId="658669B6">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“天”是指第一天零时至第二天零时的时间。</w:t>
      </w:r>
    </w:p>
    <w:p w14:paraId="2E1ACF1B">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“月”是指按公历从一个月中任何一天开始的一个公历月时间。</w:t>
      </w:r>
    </w:p>
    <w:p w14:paraId="10769485">
      <w:pPr>
        <w:pStyle w:val="9"/>
        <w:keepNext w:val="0"/>
        <w:keepLines w:val="0"/>
        <w:pageBreakBefore w:val="0"/>
        <w:widowControl w:val="0"/>
        <w:numPr>
          <w:ilvl w:val="2"/>
          <w:numId w:val="7"/>
        </w:numPr>
        <w:tabs>
          <w:tab w:val="left" w:pos="1104"/>
        </w:tabs>
        <w:kinsoku/>
        <w:wordWrap/>
        <w:overflowPunct/>
        <w:topLinePunct w:val="0"/>
        <w:autoSpaceDE w:val="0"/>
        <w:autoSpaceDN w:val="0"/>
        <w:bidi w:val="0"/>
        <w:snapToGrid/>
        <w:spacing w:before="0" w:after="0" w:line="240" w:lineRule="auto"/>
        <w:ind w:left="0" w:right="0" w:firstLine="57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“不可抗力”是指委托人和监理人在订立本合同时不可预见，在工程施工过程中不</w:t>
      </w:r>
      <w:r>
        <w:rPr>
          <w:rFonts w:hint="eastAsia" w:ascii="仿宋_GB2312" w:hAnsi="仿宋_GB2312" w:eastAsia="仿宋_GB2312" w:cs="仿宋_GB2312"/>
          <w:color w:val="231F20"/>
          <w:sz w:val="28"/>
          <w:szCs w:val="28"/>
        </w:rPr>
        <w:t>可避免发生并不能克服的自然灾害和社会性突发事件，如地震、海啸、瘟疫、水灾、骚乱、暴动、战争和专用条件约定的其他情形。</w:t>
      </w:r>
    </w:p>
    <w:p w14:paraId="39E94882">
      <w:pPr>
        <w:pStyle w:val="9"/>
        <w:keepNext w:val="0"/>
        <w:keepLines w:val="0"/>
        <w:pageBreakBefore w:val="0"/>
        <w:widowControl w:val="0"/>
        <w:numPr>
          <w:ilvl w:val="1"/>
          <w:numId w:val="8"/>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解释</w:t>
      </w:r>
    </w:p>
    <w:p w14:paraId="4D336A0C">
      <w:pPr>
        <w:pStyle w:val="9"/>
        <w:keepNext w:val="0"/>
        <w:keepLines w:val="0"/>
        <w:pageBreakBefore w:val="0"/>
        <w:widowControl w:val="0"/>
        <w:numPr>
          <w:ilvl w:val="2"/>
          <w:numId w:val="8"/>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本合同使用中文书写、解释和说明。如专用条件约定使用两种及以上语言文字时，应以中文为准。</w:t>
      </w:r>
    </w:p>
    <w:p w14:paraId="1CCF95F6">
      <w:pPr>
        <w:pStyle w:val="9"/>
        <w:keepNext w:val="0"/>
        <w:keepLines w:val="0"/>
        <w:pageBreakBefore w:val="0"/>
        <w:widowControl w:val="0"/>
        <w:numPr>
          <w:ilvl w:val="2"/>
          <w:numId w:val="8"/>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组成本合同的下列文件彼此应能相互解释、互为说明。除专用条件另有约定外，本合同文件的解释顺序如下：</w:t>
      </w:r>
    </w:p>
    <w:p w14:paraId="1D21095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1）协议书；</w:t>
      </w:r>
    </w:p>
    <w:p w14:paraId="752E744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2）中标通知书（适用于招标工程）或委托书（适用于非招标工程）；</w:t>
      </w:r>
    </w:p>
    <w:p w14:paraId="3FF268D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3）专用条件及附录 A、附录 B ；</w:t>
      </w:r>
    </w:p>
    <w:p w14:paraId="35EBFCB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4）通用条件；</w:t>
      </w:r>
    </w:p>
    <w:p w14:paraId="0A9B813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5）投标文件（适用于招标工程）或监理与相关服务建议书</w:t>
      </w:r>
      <w:r>
        <w:rPr>
          <w:rFonts w:hint="eastAsia" w:ascii="仿宋_GB2312" w:hAnsi="仿宋_GB2312" w:eastAsia="仿宋_GB2312" w:cs="仿宋_GB2312"/>
          <w:color w:val="231F20"/>
          <w:sz w:val="28"/>
          <w:szCs w:val="28"/>
        </w:rPr>
        <w:t>（适用于非招标工程</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695801B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双方签订的补充协议与其他文件发生矛盾或歧义时，属于同一类内容的文件，应以最新签署的为准。</w:t>
      </w:r>
    </w:p>
    <w:p w14:paraId="30851ADB">
      <w:pPr>
        <w:pStyle w:val="9"/>
        <w:keepNext w:val="0"/>
        <w:keepLines w:val="0"/>
        <w:pageBreakBefore w:val="0"/>
        <w:widowControl w:val="0"/>
        <w:numPr>
          <w:ilvl w:val="0"/>
          <w:numId w:val="7"/>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监理人的义务</w:t>
      </w:r>
    </w:p>
    <w:p w14:paraId="25D699D5">
      <w:pPr>
        <w:pStyle w:val="9"/>
        <w:keepNext w:val="0"/>
        <w:keepLines w:val="0"/>
        <w:pageBreakBefore w:val="0"/>
        <w:widowControl w:val="0"/>
        <w:numPr>
          <w:ilvl w:val="1"/>
          <w:numId w:val="7"/>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监理的范围和工作内容</w:t>
      </w:r>
    </w:p>
    <w:p w14:paraId="47494EF6">
      <w:pPr>
        <w:pStyle w:val="9"/>
        <w:keepNext w:val="0"/>
        <w:keepLines w:val="0"/>
        <w:pageBreakBefore w:val="0"/>
        <w:widowControl w:val="0"/>
        <w:numPr>
          <w:ilvl w:val="2"/>
          <w:numId w:val="7"/>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监理范围在专用条件中约定。</w:t>
      </w:r>
    </w:p>
    <w:p w14:paraId="22E154F6">
      <w:pPr>
        <w:pStyle w:val="9"/>
        <w:keepNext w:val="0"/>
        <w:keepLines w:val="0"/>
        <w:pageBreakBefore w:val="0"/>
        <w:widowControl w:val="0"/>
        <w:numPr>
          <w:ilvl w:val="2"/>
          <w:numId w:val="7"/>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除专用条件另有约定外，监理工作内容包括：</w:t>
      </w:r>
    </w:p>
    <w:p w14:paraId="7E69E88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1）收到工程设计文件后编制监理规划，并在第一次工地会议 7 天前报委托人。根据有关规定和监理工作需要，编制监理实施细则；</w:t>
      </w:r>
    </w:p>
    <w:p w14:paraId="66867FC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2）熟悉工程设计文件，并参加由委托人主持的图纸会审和设计交底会议；</w:t>
      </w:r>
    </w:p>
    <w:p w14:paraId="7D0603C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3）参加由委托人主持的第一次工地会议；主持监理例会并根据工程需要主持或参加专题会议；</w:t>
      </w:r>
    </w:p>
    <w:p w14:paraId="518E614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4）审查施工承包人提交的施工组织设计，重点审查其中的质量安全技术措施、专项施工方案与工程建设强制性标准的符合性；</w:t>
      </w:r>
    </w:p>
    <w:p w14:paraId="7906CEE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5）检查施工承包人工程质量、安全生产管理制度及组织机构和人员资格；</w:t>
      </w:r>
    </w:p>
    <w:p w14:paraId="52B1126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6）检查施工承包人专职安全生产管理人员的配备情况；</w:t>
      </w:r>
    </w:p>
    <w:p w14:paraId="2658EE4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 7）审查施工承包人提交的施工进度计划，核查承包人对施工进度计划的调整；</w:t>
      </w:r>
    </w:p>
    <w:p w14:paraId="36E3520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8）检查施工承包人的试验室；</w:t>
      </w:r>
    </w:p>
    <w:p w14:paraId="6A4F9A49">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9）审核施工分包人资质条件；</w:t>
      </w:r>
    </w:p>
    <w:p w14:paraId="141832A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10）查验施工承包人的施工测量放线成果；</w:t>
      </w:r>
    </w:p>
    <w:p w14:paraId="361F6953">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11）审查工程开工条件，对条件具备的签发开工令；</w:t>
      </w:r>
    </w:p>
    <w:p w14:paraId="725702D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12）审查施工承包人报送的工程材料、构配件、设备质量证明文件的有效性和符合性， 并按规定对用于工程的材料采取平行检验或见证取样方式进行抽检；</w:t>
      </w:r>
    </w:p>
    <w:p w14:paraId="1CC635C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13）审核施工承包人提交的工程款支付申请，签发或出具工程款支付证书，并报委托人审核、批准；</w:t>
      </w:r>
    </w:p>
    <w:p w14:paraId="5C86C16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14）在巡视、旁站和检验过程中，发现工程质量、施工安全存在事故隐患的，要求施工承包人整改并报委托人；</w:t>
      </w:r>
    </w:p>
    <w:p w14:paraId="0C9C0E0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15）经委托人同意，签发工程暂停令和复工令；</w:t>
      </w:r>
    </w:p>
    <w:p w14:paraId="381FA47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16）审查施工承包人提交的采用新材料、新工艺、新技术、新设备的论证材料及相关验收标准；</w:t>
      </w:r>
    </w:p>
    <w:p w14:paraId="759994F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17）验收隐蔽工程、分部分项工程；</w:t>
      </w:r>
    </w:p>
    <w:p w14:paraId="0138498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18）审查施工承包人提交的工程变更申请，协调处理施工进度调整、费用索赔、合同争议等事项；</w:t>
      </w:r>
    </w:p>
    <w:p w14:paraId="35EC592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19）审查施工承包人提交的竣工验收申请，编写工程质量评估报告；</w:t>
      </w:r>
    </w:p>
    <w:p w14:paraId="53DADD9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20）参加工程竣工验收，签署竣工验收意见；</w:t>
      </w:r>
    </w:p>
    <w:p w14:paraId="617790F7">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21）审查施工承包人提交的竣工结算申请并报委托人；</w:t>
      </w:r>
    </w:p>
    <w:p w14:paraId="3969BB7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22）编制、整理工程监理归档文件并报委托人。</w:t>
      </w:r>
    </w:p>
    <w:p w14:paraId="56B812BD">
      <w:pPr>
        <w:pStyle w:val="9"/>
        <w:keepNext w:val="0"/>
        <w:keepLines w:val="0"/>
        <w:pageBreakBefore w:val="0"/>
        <w:widowControl w:val="0"/>
        <w:numPr>
          <w:ilvl w:val="2"/>
          <w:numId w:val="7"/>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相关服务的范围和内容在附录 A 中约定。</w:t>
      </w:r>
    </w:p>
    <w:p w14:paraId="0711BA11">
      <w:pPr>
        <w:pStyle w:val="9"/>
        <w:keepNext w:val="0"/>
        <w:keepLines w:val="0"/>
        <w:pageBreakBefore w:val="0"/>
        <w:widowControl w:val="0"/>
        <w:numPr>
          <w:ilvl w:val="1"/>
          <w:numId w:val="9"/>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监理与相关服务依据</w:t>
      </w:r>
    </w:p>
    <w:p w14:paraId="45FA3090">
      <w:pPr>
        <w:pStyle w:val="9"/>
        <w:keepNext w:val="0"/>
        <w:keepLines w:val="0"/>
        <w:pageBreakBefore w:val="0"/>
        <w:widowControl w:val="0"/>
        <w:numPr>
          <w:ilvl w:val="2"/>
          <w:numId w:val="9"/>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监理依据包括：</w:t>
      </w:r>
    </w:p>
    <w:p w14:paraId="2BDB6E8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1）适用的法律、行政法规及部门规章；</w:t>
      </w:r>
    </w:p>
    <w:p w14:paraId="4ED6072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2）与工程有关的标准；</w:t>
      </w:r>
    </w:p>
    <w:p w14:paraId="19F8569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3）工程设计及有关文件；</w:t>
      </w:r>
    </w:p>
    <w:p w14:paraId="042061F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4）本合同及委托人与第三方签订的与实施工程有关的其他合同。双方根据工程的行业和地域特点，在专用条件中具体约定监理依据。</w:t>
      </w:r>
    </w:p>
    <w:p w14:paraId="7CE37781">
      <w:pPr>
        <w:pStyle w:val="9"/>
        <w:keepNext w:val="0"/>
        <w:keepLines w:val="0"/>
        <w:pageBreakBefore w:val="0"/>
        <w:widowControl w:val="0"/>
        <w:numPr>
          <w:ilvl w:val="2"/>
          <w:numId w:val="9"/>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相关服务依据在专用条件中约定。</w:t>
      </w:r>
    </w:p>
    <w:p w14:paraId="003D9EF5">
      <w:pPr>
        <w:pStyle w:val="9"/>
        <w:keepNext w:val="0"/>
        <w:keepLines w:val="0"/>
        <w:pageBreakBefore w:val="0"/>
        <w:widowControl w:val="0"/>
        <w:numPr>
          <w:ilvl w:val="1"/>
          <w:numId w:val="9"/>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项目监理机构和人员</w:t>
      </w:r>
    </w:p>
    <w:p w14:paraId="58244EE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监理人应组建满足工作需要的项目监理机构，配备必要的检测设备。项目监理机构的主要人员应具有相应的资格条件。</w:t>
      </w:r>
    </w:p>
    <w:p w14:paraId="20FB2644">
      <w:pPr>
        <w:pStyle w:val="9"/>
        <w:keepNext w:val="0"/>
        <w:keepLines w:val="0"/>
        <w:pageBreakBefore w:val="0"/>
        <w:widowControl w:val="0"/>
        <w:numPr>
          <w:ilvl w:val="2"/>
          <w:numId w:val="9"/>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本合同履行过程中，总监理工程师及重要岗位监理人员应保持相对稳定，以保证监理工作正常进行。</w:t>
      </w:r>
    </w:p>
    <w:p w14:paraId="5F24BFFD">
      <w:pPr>
        <w:pStyle w:val="9"/>
        <w:keepNext w:val="0"/>
        <w:keepLines w:val="0"/>
        <w:pageBreakBefore w:val="0"/>
        <w:widowControl w:val="0"/>
        <w:numPr>
          <w:ilvl w:val="2"/>
          <w:numId w:val="9"/>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监理人可根据工程进展和工作需要调整项目监理机构人员。监理人更换总监理工程师</w:t>
      </w:r>
      <w:r>
        <w:rPr>
          <w:rFonts w:hint="eastAsia" w:ascii="仿宋_GB2312" w:hAnsi="仿宋_GB2312" w:eastAsia="仿宋_GB2312" w:cs="仿宋_GB2312"/>
          <w:color w:val="231F20"/>
          <w:spacing w:val="6"/>
          <w:sz w:val="28"/>
          <w:szCs w:val="28"/>
        </w:rPr>
        <w:t xml:space="preserve">时，应提前 </w:t>
      </w:r>
      <w:r>
        <w:rPr>
          <w:rFonts w:hint="eastAsia" w:ascii="仿宋_GB2312" w:hAnsi="仿宋_GB2312" w:eastAsia="仿宋_GB2312" w:cs="仿宋_GB2312"/>
          <w:color w:val="231F20"/>
          <w:sz w:val="28"/>
          <w:szCs w:val="28"/>
        </w:rPr>
        <w:t>7</w:t>
      </w:r>
      <w:r>
        <w:rPr>
          <w:rFonts w:hint="eastAsia" w:ascii="仿宋_GB2312" w:hAnsi="仿宋_GB2312" w:eastAsia="仿宋_GB2312" w:cs="仿宋_GB2312"/>
          <w:color w:val="231F20"/>
          <w:spacing w:val="-3"/>
          <w:sz w:val="28"/>
          <w:szCs w:val="28"/>
        </w:rPr>
        <w:t xml:space="preserve"> 天向委托人书面报告，经委托人同意后方可更换；监理人更换项目监理机构其他监理人员，应以相当资格与能力的人员替换，并通知委托人。</w:t>
      </w:r>
    </w:p>
    <w:p w14:paraId="6B7286FD">
      <w:pPr>
        <w:pStyle w:val="9"/>
        <w:keepNext w:val="0"/>
        <w:keepLines w:val="0"/>
        <w:pageBreakBefore w:val="0"/>
        <w:widowControl w:val="0"/>
        <w:numPr>
          <w:ilvl w:val="2"/>
          <w:numId w:val="9"/>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监理人应及时更换有下列情形之一的监理人员：</w:t>
      </w:r>
    </w:p>
    <w:p w14:paraId="4A5DD8CA">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1）严重过失行为的；</w:t>
      </w:r>
    </w:p>
    <w:p w14:paraId="3D4255F7">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2）有违法行为不能履行职责的；</w:t>
      </w:r>
    </w:p>
    <w:p w14:paraId="0D9E3607">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3）涉嫌犯罪的；</w:t>
      </w:r>
    </w:p>
    <w:p w14:paraId="6853ACA9">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4）不能胜任岗位职责的；</w:t>
      </w:r>
    </w:p>
    <w:p w14:paraId="1C40228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5）严重违反职业道德的；</w:t>
      </w:r>
    </w:p>
    <w:p w14:paraId="60E84A63">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6）专用条件约定的其他情形。</w:t>
      </w:r>
    </w:p>
    <w:p w14:paraId="0F89CEFD">
      <w:pPr>
        <w:pStyle w:val="9"/>
        <w:keepNext w:val="0"/>
        <w:keepLines w:val="0"/>
        <w:pageBreakBefore w:val="0"/>
        <w:widowControl w:val="0"/>
        <w:numPr>
          <w:ilvl w:val="2"/>
          <w:numId w:val="9"/>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委托人可要求监理人更换不能胜任本职工作的项目监理机构人员。</w:t>
      </w:r>
    </w:p>
    <w:p w14:paraId="7260691B">
      <w:pPr>
        <w:pStyle w:val="9"/>
        <w:keepNext w:val="0"/>
        <w:keepLines w:val="0"/>
        <w:pageBreakBefore w:val="0"/>
        <w:widowControl w:val="0"/>
        <w:numPr>
          <w:ilvl w:val="1"/>
          <w:numId w:val="1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履行职责</w:t>
      </w:r>
    </w:p>
    <w:p w14:paraId="3285BB9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监理人应遵循职业道德准则和行为规范，严格按照法律法规、工程建设有关标准及本合同履行职责。</w:t>
      </w:r>
    </w:p>
    <w:p w14:paraId="0050CD83">
      <w:pPr>
        <w:pStyle w:val="9"/>
        <w:keepNext w:val="0"/>
        <w:keepLines w:val="0"/>
        <w:pageBreakBefore w:val="0"/>
        <w:widowControl w:val="0"/>
        <w:numPr>
          <w:ilvl w:val="2"/>
          <w:numId w:val="10"/>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在监理与相关服务范围内，委托人和承包人提出的意见和要求，监理人应及时提出处置意见。当委托人与承包人之间发生合同争议时，监理人应协助委托人、承包人协商解决。</w:t>
      </w:r>
    </w:p>
    <w:p w14:paraId="7D602FBD">
      <w:pPr>
        <w:pStyle w:val="9"/>
        <w:keepNext w:val="0"/>
        <w:keepLines w:val="0"/>
        <w:pageBreakBefore w:val="0"/>
        <w:widowControl w:val="0"/>
        <w:numPr>
          <w:ilvl w:val="2"/>
          <w:numId w:val="10"/>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当委托人与承包人之间的合同争议提交仲裁机构仲裁或人民法院审理时，监理人应提供必要的证明资料。</w:t>
      </w:r>
    </w:p>
    <w:p w14:paraId="4D7BD23A">
      <w:pPr>
        <w:pStyle w:val="9"/>
        <w:keepNext w:val="0"/>
        <w:keepLines w:val="0"/>
        <w:pageBreakBefore w:val="0"/>
        <w:widowControl w:val="0"/>
        <w:numPr>
          <w:ilvl w:val="2"/>
          <w:numId w:val="10"/>
        </w:numPr>
        <w:tabs>
          <w:tab w:val="left" w:pos="1071"/>
        </w:tabs>
        <w:kinsoku/>
        <w:wordWrap/>
        <w:overflowPunct/>
        <w:topLinePunct w:val="0"/>
        <w:autoSpaceDE w:val="0"/>
        <w:autoSpaceDN w:val="0"/>
        <w:bidi w:val="0"/>
        <w:snapToGrid/>
        <w:spacing w:before="0" w:after="0" w:line="240" w:lineRule="auto"/>
        <w:ind w:left="0" w:right="0" w:firstLine="57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监理人应在专用条件约定的授权范围内，处理委托人与承包人所签订合同的变更事</w:t>
      </w:r>
      <w:r>
        <w:rPr>
          <w:rFonts w:hint="eastAsia" w:ascii="仿宋_GB2312" w:hAnsi="仿宋_GB2312" w:eastAsia="仿宋_GB2312" w:cs="仿宋_GB2312"/>
          <w:color w:val="231F20"/>
          <w:sz w:val="28"/>
          <w:szCs w:val="28"/>
        </w:rPr>
        <w:t>宜。如果变更超过授权范围，应以书面形式报委托人批准。</w:t>
      </w:r>
    </w:p>
    <w:p w14:paraId="1DB88845">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在紧急情况下，为了保护财产和人身安全，监理人所发出的指令未能事先报委托人批准时，应在发出指令后的 24 小时内以书面形式报委托人。</w:t>
      </w:r>
    </w:p>
    <w:p w14:paraId="2B4AEF43">
      <w:pPr>
        <w:pStyle w:val="9"/>
        <w:keepNext w:val="0"/>
        <w:keepLines w:val="0"/>
        <w:pageBreakBefore w:val="0"/>
        <w:widowControl w:val="0"/>
        <w:numPr>
          <w:ilvl w:val="2"/>
          <w:numId w:val="10"/>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除专用条件另有约定外，监理人发现承包人的人员不能胜任本职工作的，有权要求承包人予以调换。</w:t>
      </w:r>
    </w:p>
    <w:p w14:paraId="1515D4DE">
      <w:pPr>
        <w:pStyle w:val="9"/>
        <w:keepNext w:val="0"/>
        <w:keepLines w:val="0"/>
        <w:pageBreakBefore w:val="0"/>
        <w:widowControl w:val="0"/>
        <w:numPr>
          <w:ilvl w:val="1"/>
          <w:numId w:val="1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提交报告</w:t>
      </w:r>
    </w:p>
    <w:p w14:paraId="5CC1A10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监理人应按专用条件约定的种类、时间和份数向委托人提交监理与相关服务的报告。</w:t>
      </w:r>
    </w:p>
    <w:p w14:paraId="65693C68">
      <w:pPr>
        <w:pStyle w:val="9"/>
        <w:keepNext w:val="0"/>
        <w:keepLines w:val="0"/>
        <w:pageBreakBefore w:val="0"/>
        <w:widowControl w:val="0"/>
        <w:numPr>
          <w:ilvl w:val="1"/>
          <w:numId w:val="1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文件资料</w:t>
      </w:r>
    </w:p>
    <w:p w14:paraId="3C98FE1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在本合同履行期内，监理人应在现场保留工作所用的图纸、报告及记录监理工作的相关文件。工程竣工后，应当按照档案管理规定将监理有关文件归档。</w:t>
      </w:r>
    </w:p>
    <w:p w14:paraId="1530FF7F">
      <w:pPr>
        <w:pStyle w:val="9"/>
        <w:keepNext w:val="0"/>
        <w:keepLines w:val="0"/>
        <w:pageBreakBefore w:val="0"/>
        <w:widowControl w:val="0"/>
        <w:numPr>
          <w:ilvl w:val="1"/>
          <w:numId w:val="1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使用委托人的财产</w:t>
      </w:r>
    </w:p>
    <w:p w14:paraId="2A8E150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监理人无偿使用附录B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7D24DBA">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3．委托人的义务</w:t>
      </w:r>
    </w:p>
    <w:p w14:paraId="792CE277">
      <w:pPr>
        <w:pStyle w:val="9"/>
        <w:keepNext w:val="0"/>
        <w:keepLines w:val="0"/>
        <w:pageBreakBefore w:val="0"/>
        <w:widowControl w:val="0"/>
        <w:numPr>
          <w:ilvl w:val="1"/>
          <w:numId w:val="11"/>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告知</w:t>
      </w:r>
    </w:p>
    <w:p w14:paraId="13F7800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委托人应在委托人与承包人签订的合同中明确监理人、总监理工程师和授予项目监理机构的权限。如有变更，应及时通知承包人。</w:t>
      </w:r>
    </w:p>
    <w:p w14:paraId="5F3B001B">
      <w:pPr>
        <w:pStyle w:val="9"/>
        <w:keepNext w:val="0"/>
        <w:keepLines w:val="0"/>
        <w:pageBreakBefore w:val="0"/>
        <w:widowControl w:val="0"/>
        <w:numPr>
          <w:ilvl w:val="1"/>
          <w:numId w:val="11"/>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提供资料</w:t>
      </w:r>
    </w:p>
    <w:p w14:paraId="4D119D48">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委托人应按照附录 B 约定，无偿向监理人提供工程有关的资料。在本合同履行过程中，委托人应及时向监理人提供最新的与工程有关的资料。</w:t>
      </w:r>
    </w:p>
    <w:p w14:paraId="3F79428F">
      <w:pPr>
        <w:pStyle w:val="9"/>
        <w:keepNext w:val="0"/>
        <w:keepLines w:val="0"/>
        <w:pageBreakBefore w:val="0"/>
        <w:widowControl w:val="0"/>
        <w:numPr>
          <w:ilvl w:val="1"/>
          <w:numId w:val="11"/>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提供工作条件</w:t>
      </w:r>
    </w:p>
    <w:p w14:paraId="629C735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委托人应为监理人完成监理与相关服务提供必要的条件。</w:t>
      </w:r>
    </w:p>
    <w:p w14:paraId="62414183">
      <w:pPr>
        <w:pStyle w:val="9"/>
        <w:keepNext w:val="0"/>
        <w:keepLines w:val="0"/>
        <w:pageBreakBefore w:val="0"/>
        <w:widowControl w:val="0"/>
        <w:numPr>
          <w:ilvl w:val="2"/>
          <w:numId w:val="11"/>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委托人应按照附录 B 约定，派遣相应的人员，提供房屋、设备，供监理人无偿使用。</w:t>
      </w:r>
    </w:p>
    <w:p w14:paraId="2756DBB3">
      <w:pPr>
        <w:pStyle w:val="9"/>
        <w:keepNext w:val="0"/>
        <w:keepLines w:val="0"/>
        <w:pageBreakBefore w:val="0"/>
        <w:widowControl w:val="0"/>
        <w:numPr>
          <w:ilvl w:val="2"/>
          <w:numId w:val="11"/>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委托人应负责协调工程建设中所有外部关系，为监理人履行本合同提供必要的外部条件。</w:t>
      </w:r>
    </w:p>
    <w:p w14:paraId="1A9D5334">
      <w:pPr>
        <w:pStyle w:val="9"/>
        <w:keepNext w:val="0"/>
        <w:keepLines w:val="0"/>
        <w:pageBreakBefore w:val="0"/>
        <w:widowControl w:val="0"/>
        <w:numPr>
          <w:ilvl w:val="1"/>
          <w:numId w:val="12"/>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委托人代表</w:t>
      </w:r>
    </w:p>
    <w:p w14:paraId="3205998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委托人应授权一名熟悉工程情况的代表，负责与监理人联系。委托人应在双方签订本合同后 7 天内，将委托人代表的姓名和职责书面告知监理人。当委托人更换委托人代表时，应提前</w:t>
      </w:r>
    </w:p>
    <w:p w14:paraId="768FE06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7 天通知监理人。</w:t>
      </w:r>
    </w:p>
    <w:p w14:paraId="72CD9D54">
      <w:pPr>
        <w:pStyle w:val="9"/>
        <w:keepNext w:val="0"/>
        <w:keepLines w:val="0"/>
        <w:pageBreakBefore w:val="0"/>
        <w:widowControl w:val="0"/>
        <w:numPr>
          <w:ilvl w:val="1"/>
          <w:numId w:val="12"/>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委托人意见或要求</w:t>
      </w:r>
    </w:p>
    <w:p w14:paraId="0546CA3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在本合同约定的监理与相关服务工作范围内，委托人对承包人的任何意见或要求应通知监理人，由监理人向承包人发出相应指令。</w:t>
      </w:r>
    </w:p>
    <w:p w14:paraId="1CE478F5">
      <w:pPr>
        <w:pStyle w:val="9"/>
        <w:keepNext w:val="0"/>
        <w:keepLines w:val="0"/>
        <w:pageBreakBefore w:val="0"/>
        <w:widowControl w:val="0"/>
        <w:numPr>
          <w:ilvl w:val="1"/>
          <w:numId w:val="12"/>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答复</w:t>
      </w:r>
    </w:p>
    <w:p w14:paraId="36148E5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委托人应在专用条件约定的时间内，对监理人以书面形式提交并要求作出决定的事宜，给予书面答复。逾期未答复的，视为委托人认可。</w:t>
      </w:r>
    </w:p>
    <w:p w14:paraId="0899E3A7">
      <w:pPr>
        <w:pStyle w:val="9"/>
        <w:keepNext w:val="0"/>
        <w:keepLines w:val="0"/>
        <w:pageBreakBefore w:val="0"/>
        <w:widowControl w:val="0"/>
        <w:numPr>
          <w:ilvl w:val="1"/>
          <w:numId w:val="12"/>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w:t>
      </w:r>
    </w:p>
    <w:p w14:paraId="496DBB5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委托人应按本合同约定，向监理人支付酬金。</w:t>
      </w:r>
    </w:p>
    <w:p w14:paraId="7935DB50">
      <w:pPr>
        <w:pStyle w:val="9"/>
        <w:keepNext w:val="0"/>
        <w:keepLines w:val="0"/>
        <w:pageBreakBefore w:val="0"/>
        <w:widowControl w:val="0"/>
        <w:numPr>
          <w:ilvl w:val="0"/>
          <w:numId w:val="13"/>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违约责任</w:t>
      </w:r>
    </w:p>
    <w:p w14:paraId="7276B61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监理人的违约责任</w:t>
      </w:r>
    </w:p>
    <w:p w14:paraId="4830518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监理人未履行本合同义务的，应承担相应的责任。</w:t>
      </w:r>
    </w:p>
    <w:p w14:paraId="79C8D1C4">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因监理人违反本合同约定给委托人造成损失的，监理人应当赔偿委托人损失。赔偿金额的确定方法在专用条件中约定。监理人承担部分赔偿责任的，其承担赔偿金额由双方协商确定。</w:t>
      </w:r>
    </w:p>
    <w:p w14:paraId="0DF1FE75">
      <w:pPr>
        <w:pStyle w:val="9"/>
        <w:keepNext w:val="0"/>
        <w:keepLines w:val="0"/>
        <w:pageBreakBefore w:val="0"/>
        <w:widowControl w:val="0"/>
        <w:numPr>
          <w:ilvl w:val="2"/>
          <w:numId w:val="13"/>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监理人向委托人的索赔不成立时，监理人应赔偿委托人由此发生的费用。</w:t>
      </w:r>
    </w:p>
    <w:p w14:paraId="64B326FE">
      <w:pPr>
        <w:pStyle w:val="9"/>
        <w:keepNext w:val="0"/>
        <w:keepLines w:val="0"/>
        <w:pageBreakBefore w:val="0"/>
        <w:widowControl w:val="0"/>
        <w:numPr>
          <w:ilvl w:val="1"/>
          <w:numId w:val="14"/>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委托人的违约责任</w:t>
      </w:r>
    </w:p>
    <w:p w14:paraId="77493AE8">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委托人未履行本合同义务的，应承担相应的责任。</w:t>
      </w:r>
    </w:p>
    <w:p w14:paraId="47262502">
      <w:pPr>
        <w:pStyle w:val="9"/>
        <w:keepNext w:val="0"/>
        <w:keepLines w:val="0"/>
        <w:pageBreakBefore w:val="0"/>
        <w:widowControl w:val="0"/>
        <w:numPr>
          <w:ilvl w:val="2"/>
          <w:numId w:val="14"/>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委托人违反本合同约定造成监理人损失的，委托人应予以赔偿。</w:t>
      </w:r>
    </w:p>
    <w:p w14:paraId="59F57B07">
      <w:pPr>
        <w:pStyle w:val="9"/>
        <w:keepNext w:val="0"/>
        <w:keepLines w:val="0"/>
        <w:pageBreakBefore w:val="0"/>
        <w:widowControl w:val="0"/>
        <w:numPr>
          <w:ilvl w:val="2"/>
          <w:numId w:val="14"/>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委托人向监理人的索赔不成立时，应赔偿监理人由此引起的费用。</w:t>
      </w:r>
    </w:p>
    <w:p w14:paraId="7A0DC0AB">
      <w:pPr>
        <w:pStyle w:val="9"/>
        <w:keepNext w:val="0"/>
        <w:keepLines w:val="0"/>
        <w:pageBreakBefore w:val="0"/>
        <w:widowControl w:val="0"/>
        <w:numPr>
          <w:ilvl w:val="2"/>
          <w:numId w:val="14"/>
        </w:numPr>
        <w:tabs>
          <w:tab w:val="left" w:pos="1048"/>
        </w:tabs>
        <w:kinsoku/>
        <w:wordWrap/>
        <w:overflowPunct/>
        <w:topLinePunct w:val="0"/>
        <w:autoSpaceDE w:val="0"/>
        <w:autoSpaceDN w:val="0"/>
        <w:bidi w:val="0"/>
        <w:snapToGrid/>
        <w:spacing w:before="0" w:after="0" w:line="240" w:lineRule="auto"/>
        <w:ind w:left="0" w:right="0" w:firstLine="55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委托人未能按期支付酬金超过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1"/>
          <w:sz w:val="28"/>
          <w:szCs w:val="28"/>
        </w:rPr>
        <w:t xml:space="preserve"> 天，应按专用条件约定支付逾期付款利息。</w:t>
      </w:r>
    </w:p>
    <w:p w14:paraId="2FAFC4F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4.3 除外责任</w:t>
      </w:r>
    </w:p>
    <w:p w14:paraId="3E8C7543">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因非监理人的原因，且监理人无过错，发生工程质量事故、安全事故、工期延误等造成的损失，监理人不承担赔偿责任。</w:t>
      </w:r>
    </w:p>
    <w:p w14:paraId="71D4581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因不可抗力导致本合同全部或部分不能履行时，双方各自承担其因此而造成的损失、损害。</w:t>
      </w:r>
    </w:p>
    <w:p w14:paraId="71F2616D">
      <w:pPr>
        <w:pStyle w:val="9"/>
        <w:keepNext w:val="0"/>
        <w:keepLines w:val="0"/>
        <w:pageBreakBefore w:val="0"/>
        <w:widowControl w:val="0"/>
        <w:numPr>
          <w:ilvl w:val="0"/>
          <w:numId w:val="13"/>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w:t>
      </w:r>
    </w:p>
    <w:p w14:paraId="7CD4B2C4">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支付货币</w:t>
      </w:r>
    </w:p>
    <w:p w14:paraId="2BC0301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除专用条件另有约定外，酬金均以人民币支付。涉及外币支付的，所采用的货币种类、比例和汇率在专用条件中约定。</w:t>
      </w:r>
    </w:p>
    <w:p w14:paraId="62A3E4E6">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支付申请</w:t>
      </w:r>
    </w:p>
    <w:p w14:paraId="468737C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监理人应在本合同约定的每次应付款时间的 7 天前，向委托人提交支付申请书。支付申请书应当说明当期应付款总额，并列出当期应支付的款项及其金额。</w:t>
      </w:r>
    </w:p>
    <w:p w14:paraId="2A7F4599">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支付酬金</w:t>
      </w:r>
    </w:p>
    <w:p w14:paraId="402E799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支付的酬金包括正常工作酬金、附加工作酬金、合理化建议奖励金额及费用。</w:t>
      </w:r>
    </w:p>
    <w:p w14:paraId="4FE1E6EC">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有争议部分的付款</w:t>
      </w:r>
    </w:p>
    <w:p w14:paraId="748BA5F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委托人对监理人提交的支付申请书有异议时，应当在收到监理人提交的支付申请书后 7 天内，以书面形式向监理人发出异议通知。无异议部分的款项应按期支付，有异议部分的款项按第 7 条约定办理。</w:t>
      </w:r>
    </w:p>
    <w:p w14:paraId="0D446CAB">
      <w:pPr>
        <w:pStyle w:val="9"/>
        <w:keepNext w:val="0"/>
        <w:keepLines w:val="0"/>
        <w:pageBreakBefore w:val="0"/>
        <w:widowControl w:val="0"/>
        <w:numPr>
          <w:ilvl w:val="0"/>
          <w:numId w:val="13"/>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合同生效、变更、暂停、解除与终止</w:t>
      </w:r>
    </w:p>
    <w:p w14:paraId="759892AD">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生效</w:t>
      </w:r>
    </w:p>
    <w:p w14:paraId="57A4E2EE">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除法律另有规定或者专用条件另有约定外，委托人和监理人的法定代表人或其授权代理人在协议书上签字并盖单位章后本合同生效。</w:t>
      </w:r>
    </w:p>
    <w:p w14:paraId="76D6DF16">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变更</w:t>
      </w:r>
    </w:p>
    <w:p w14:paraId="546C3FE3">
      <w:pPr>
        <w:pStyle w:val="9"/>
        <w:keepNext w:val="0"/>
        <w:keepLines w:val="0"/>
        <w:pageBreakBefore w:val="0"/>
        <w:widowControl w:val="0"/>
        <w:numPr>
          <w:ilvl w:val="2"/>
          <w:numId w:val="13"/>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任何一方提出变更请求时，双方经协商一致后可进行变更。</w:t>
      </w:r>
    </w:p>
    <w:p w14:paraId="0403E37E">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EE5622F">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合同生效后，如果实际情况发生变化使得监理人不能完成全部或部分工作时，监理人应立即通知委托人。除不可抗力外，其善后工作以及恢复服务的准备工作应为附加工作，附加</w:t>
      </w:r>
      <w:r>
        <w:rPr>
          <w:rFonts w:hint="eastAsia" w:ascii="仿宋_GB2312" w:hAnsi="仿宋_GB2312" w:eastAsia="仿宋_GB2312" w:cs="仿宋_GB2312"/>
          <w:color w:val="231F20"/>
          <w:spacing w:val="-1"/>
          <w:sz w:val="28"/>
          <w:szCs w:val="28"/>
        </w:rPr>
        <w:t xml:space="preserve">工作酬金的确定方法在专用条件中约定。监理人用于恢复服务的准备时间不应超过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1"/>
          <w:sz w:val="28"/>
          <w:szCs w:val="28"/>
        </w:rPr>
        <w:t xml:space="preserve"> 天。</w:t>
      </w:r>
    </w:p>
    <w:p w14:paraId="38FF6E8E">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合同签订后，遇有与工程相关的法律法规、标准颁布或修订的，双方应遵照执行。由此引起监理与相关服务的范围、时间、酬金变化的，双方应通过协商进行相应调整。</w:t>
      </w:r>
    </w:p>
    <w:p w14:paraId="598E233B">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因非监理人原因造成工程概算投资额或建筑安装工程费增加时，正常工作酬金应作相应调整。调整方法在专用条件中约定。</w:t>
      </w:r>
    </w:p>
    <w:p w14:paraId="3673D264">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因工程规模、监理范围的变化导致监理人的正常工作量减少时，正常工作酬金应作相应调整。调整方法在专用条件中约定。</w:t>
      </w:r>
    </w:p>
    <w:p w14:paraId="71520F44">
      <w:pPr>
        <w:pStyle w:val="9"/>
        <w:keepNext w:val="0"/>
        <w:keepLines w:val="0"/>
        <w:pageBreakBefore w:val="0"/>
        <w:widowControl w:val="0"/>
        <w:numPr>
          <w:ilvl w:val="1"/>
          <w:numId w:val="13"/>
        </w:numPr>
        <w:tabs>
          <w:tab w:val="left" w:pos="993"/>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暂停与解除</w:t>
      </w:r>
    </w:p>
    <w:p w14:paraId="2666B8D8">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除双方协商一致可以解除本合同外，当一方无正当理由未履行本合同约定的义务时，另一方可以根据本合同约定暂停履行本合同直至解除本合同。</w:t>
      </w:r>
    </w:p>
    <w:p w14:paraId="36AF8876">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4B5552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因解除本合同或解除监理人的部分义务导致监理人遭受的损失，除依法可以免除责任的情况外，应由委托人予以补偿，补偿金额由双方协商确定。</w:t>
      </w:r>
    </w:p>
    <w:p w14:paraId="7AE5131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解除本合同的协议必须采取书面形式，协议未达成之前，本合同仍然有效。</w:t>
      </w:r>
    </w:p>
    <w:p w14:paraId="5D1E070A">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7B57448">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暂停部分监理与相关服务时间超过 182 天，监理人可发出解除本合同约定的该部分义务的</w:t>
      </w:r>
    </w:p>
    <w:p w14:paraId="6300703A">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通知；暂停全部工作时间超过 182 天，监理人可发出解除本合同的通知，本合同自通知到达委</w:t>
      </w:r>
    </w:p>
    <w:p w14:paraId="264878D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托人时解除。委托人应将监理与相关服务的酬金支付至本合同解除日，且应承担第 4.2 款约定的责任。</w:t>
      </w:r>
    </w:p>
    <w:p w14:paraId="0121D728">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17248D4B">
      <w:pPr>
        <w:pStyle w:val="9"/>
        <w:keepNext w:val="0"/>
        <w:keepLines w:val="0"/>
        <w:pageBreakBefore w:val="0"/>
        <w:widowControl w:val="0"/>
        <w:numPr>
          <w:ilvl w:val="2"/>
          <w:numId w:val="13"/>
        </w:numPr>
        <w:tabs>
          <w:tab w:val="left" w:pos="1070"/>
        </w:tabs>
        <w:kinsoku/>
        <w:wordWrap/>
        <w:overflowPunct/>
        <w:topLinePunct w:val="0"/>
        <w:autoSpaceDE w:val="0"/>
        <w:autoSpaceDN w:val="0"/>
        <w:bidi w:val="0"/>
        <w:snapToGrid/>
        <w:spacing w:before="0" w:after="0" w:line="240" w:lineRule="auto"/>
        <w:ind w:left="0" w:right="0" w:firstLine="56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监理人在专用条件 </w:t>
      </w:r>
      <w:r>
        <w:rPr>
          <w:rFonts w:hint="eastAsia" w:ascii="仿宋_GB2312" w:hAnsi="仿宋_GB2312" w:eastAsia="仿宋_GB2312" w:cs="仿宋_GB2312"/>
          <w:color w:val="231F20"/>
          <w:sz w:val="28"/>
          <w:szCs w:val="28"/>
        </w:rPr>
        <w:t>5.3</w:t>
      </w:r>
      <w:r>
        <w:rPr>
          <w:rFonts w:hint="eastAsia" w:ascii="仿宋_GB2312" w:hAnsi="仿宋_GB2312" w:eastAsia="仿宋_GB2312" w:cs="仿宋_GB2312"/>
          <w:color w:val="231F20"/>
          <w:spacing w:val="1"/>
          <w:sz w:val="28"/>
          <w:szCs w:val="28"/>
        </w:rPr>
        <w:t xml:space="preserve"> 中约定的支付之日起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2"/>
          <w:sz w:val="28"/>
          <w:szCs w:val="28"/>
        </w:rPr>
        <w:t xml:space="preserve"> 天后仍未收到委托人按本合同约定应</w:t>
      </w:r>
      <w:r>
        <w:rPr>
          <w:rFonts w:hint="eastAsia" w:ascii="仿宋_GB2312" w:hAnsi="仿宋_GB2312" w:eastAsia="仿宋_GB2312" w:cs="仿宋_GB2312"/>
          <w:color w:val="231F20"/>
          <w:sz w:val="28"/>
          <w:szCs w:val="28"/>
        </w:rPr>
        <w:t>付的款项，可向委托人发出催付通知。委托人接到通知 14</w:t>
      </w:r>
      <w:r>
        <w:rPr>
          <w:rFonts w:hint="eastAsia" w:ascii="仿宋_GB2312" w:hAnsi="仿宋_GB2312" w:eastAsia="仿宋_GB2312" w:cs="仿宋_GB2312"/>
          <w:color w:val="231F20"/>
          <w:spacing w:val="2"/>
          <w:sz w:val="28"/>
          <w:szCs w:val="28"/>
        </w:rPr>
        <w:t xml:space="preserve"> 天后仍未支付或未提出监理人可以</w:t>
      </w:r>
      <w:r>
        <w:rPr>
          <w:rFonts w:hint="eastAsia" w:ascii="仿宋_GB2312" w:hAnsi="仿宋_GB2312" w:eastAsia="仿宋_GB2312" w:cs="仿宋_GB2312"/>
          <w:color w:val="231F20"/>
          <w:sz w:val="28"/>
          <w:szCs w:val="28"/>
        </w:rPr>
        <w:t>接受的延期支付安排，监理人可向委托人发出暂停工作的通知并可自行暂停全部或部分工作。</w:t>
      </w:r>
      <w:r>
        <w:rPr>
          <w:rFonts w:hint="eastAsia" w:ascii="仿宋_GB2312" w:hAnsi="仿宋_GB2312" w:eastAsia="仿宋_GB2312" w:cs="仿宋_GB2312"/>
          <w:color w:val="231F20"/>
          <w:spacing w:val="2"/>
          <w:sz w:val="28"/>
          <w:szCs w:val="28"/>
        </w:rPr>
        <w:t xml:space="preserve">暂停工作后 </w:t>
      </w:r>
      <w:r>
        <w:rPr>
          <w:rFonts w:hint="eastAsia" w:ascii="仿宋_GB2312" w:hAnsi="仿宋_GB2312" w:eastAsia="仿宋_GB2312" w:cs="仿宋_GB2312"/>
          <w:color w:val="231F20"/>
          <w:sz w:val="28"/>
          <w:szCs w:val="28"/>
        </w:rPr>
        <w:t>14</w:t>
      </w:r>
      <w:r>
        <w:rPr>
          <w:rFonts w:hint="eastAsia" w:ascii="仿宋_GB2312" w:hAnsi="仿宋_GB2312" w:eastAsia="仿宋_GB2312" w:cs="仿宋_GB2312"/>
          <w:color w:val="231F20"/>
          <w:spacing w:val="1"/>
          <w:sz w:val="28"/>
          <w:szCs w:val="28"/>
        </w:rPr>
        <w:t xml:space="preserve"> 天内监理人仍未获得委托人应付酬金或委托人的合理答复，监理人可向委托人</w:t>
      </w:r>
      <w:r>
        <w:rPr>
          <w:rFonts w:hint="eastAsia" w:ascii="仿宋_GB2312" w:hAnsi="仿宋_GB2312" w:eastAsia="仿宋_GB2312" w:cs="仿宋_GB2312"/>
          <w:color w:val="231F20"/>
          <w:sz w:val="28"/>
          <w:szCs w:val="28"/>
        </w:rPr>
        <w:t>发出解除本合同的通知，自通知到达委托人时本合同解除。委托人应承担第 4.2.3</w:t>
      </w:r>
      <w:r>
        <w:rPr>
          <w:rFonts w:hint="eastAsia" w:ascii="仿宋_GB2312" w:hAnsi="仿宋_GB2312" w:eastAsia="仿宋_GB2312" w:cs="仿宋_GB2312"/>
          <w:color w:val="231F20"/>
          <w:spacing w:val="2"/>
          <w:sz w:val="28"/>
          <w:szCs w:val="28"/>
        </w:rPr>
        <w:t xml:space="preserve"> 款约定的责</w:t>
      </w:r>
      <w:r>
        <w:rPr>
          <w:rFonts w:hint="eastAsia" w:ascii="仿宋_GB2312" w:hAnsi="仿宋_GB2312" w:eastAsia="仿宋_GB2312" w:cs="仿宋_GB2312"/>
          <w:color w:val="231F20"/>
          <w:sz w:val="28"/>
          <w:szCs w:val="28"/>
        </w:rPr>
        <w:t>任。</w:t>
      </w:r>
    </w:p>
    <w:p w14:paraId="4873A03F">
      <w:pPr>
        <w:pStyle w:val="9"/>
        <w:keepNext w:val="0"/>
        <w:keepLines w:val="0"/>
        <w:pageBreakBefore w:val="0"/>
        <w:widowControl w:val="0"/>
        <w:numPr>
          <w:ilvl w:val="2"/>
          <w:numId w:val="13"/>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因不可抗力致使本合同部分或全部不能履行时，一方应立即通知另一方，可暂停或解除本合同。</w:t>
      </w:r>
    </w:p>
    <w:p w14:paraId="6EB1D28D">
      <w:pPr>
        <w:pStyle w:val="9"/>
        <w:keepNext w:val="0"/>
        <w:keepLines w:val="0"/>
        <w:pageBreakBefore w:val="0"/>
        <w:widowControl w:val="0"/>
        <w:numPr>
          <w:ilvl w:val="2"/>
          <w:numId w:val="13"/>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本合同解除后，本合同约定的有关结算、清理、争议解决方式的条件仍然有效。</w:t>
      </w:r>
    </w:p>
    <w:p w14:paraId="51414444">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终止</w:t>
      </w:r>
    </w:p>
    <w:p w14:paraId="165E768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以下条件全部满足时，本合同即告终止：</w:t>
      </w:r>
    </w:p>
    <w:p w14:paraId="7F28C049">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1）监理人完成本合同约定的全部工作；</w:t>
      </w:r>
    </w:p>
    <w:p w14:paraId="5196941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2）委托人与监理人结清并支付全部酬金。</w:t>
      </w:r>
    </w:p>
    <w:p w14:paraId="42BD6197">
      <w:pPr>
        <w:pStyle w:val="9"/>
        <w:keepNext w:val="0"/>
        <w:keepLines w:val="0"/>
        <w:pageBreakBefore w:val="0"/>
        <w:widowControl w:val="0"/>
        <w:numPr>
          <w:ilvl w:val="0"/>
          <w:numId w:val="13"/>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争议解决</w:t>
      </w:r>
    </w:p>
    <w:p w14:paraId="351DAE10">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协商</w:t>
      </w:r>
    </w:p>
    <w:p w14:paraId="18CE9ACA">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双方应本着诚信原则协商解决彼此间的争议。</w:t>
      </w:r>
    </w:p>
    <w:p w14:paraId="49AC18AD">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调解</w:t>
      </w:r>
    </w:p>
    <w:p w14:paraId="0AAABC3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如果双方不能在 14 天内或双方商定的其他时间内解决本合同争议，可以将其提交给专用条件约定的或事后达成协议的调解人进行调解。</w:t>
      </w:r>
    </w:p>
    <w:p w14:paraId="511D6AED">
      <w:pPr>
        <w:pStyle w:val="9"/>
        <w:keepNext w:val="0"/>
        <w:keepLines w:val="0"/>
        <w:pageBreakBefore w:val="0"/>
        <w:widowControl w:val="0"/>
        <w:numPr>
          <w:ilvl w:val="1"/>
          <w:numId w:val="13"/>
        </w:numPr>
        <w:tabs>
          <w:tab w:val="left" w:pos="885"/>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仲裁</w:t>
      </w:r>
    </w:p>
    <w:p w14:paraId="75F34CD5">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231F20"/>
          <w:sz w:val="28"/>
          <w:szCs w:val="28"/>
          <w:u w:val="single"/>
        </w:rPr>
        <w:t>因本合同引起的或与本合同有关的任何争议，均</w:t>
      </w:r>
      <w:r>
        <w:rPr>
          <w:rFonts w:hint="eastAsia" w:ascii="仿宋_GB2312" w:hAnsi="仿宋_GB2312" w:eastAsia="仿宋_GB2312" w:cs="仿宋_GB2312"/>
          <w:b/>
          <w:bCs/>
          <w:color w:val="231F20"/>
          <w:sz w:val="28"/>
          <w:szCs w:val="28"/>
          <w:u w:val="single"/>
        </w:rPr>
        <w:t>提请绵阳仲裁委员会按照该会仲裁规则进行仲裁</w:t>
      </w:r>
      <w:r>
        <w:rPr>
          <w:rFonts w:hint="eastAsia" w:ascii="仿宋_GB2312" w:hAnsi="仿宋_GB2312" w:eastAsia="仿宋_GB2312" w:cs="仿宋_GB2312"/>
          <w:color w:val="231F20"/>
          <w:sz w:val="28"/>
          <w:szCs w:val="28"/>
          <w:u w:val="single"/>
        </w:rPr>
        <w:t>。仲裁裁决是终局的，对双方均有约束力。</w:t>
      </w:r>
    </w:p>
    <w:p w14:paraId="0B363E03">
      <w:pPr>
        <w:pStyle w:val="9"/>
        <w:keepNext w:val="0"/>
        <w:keepLines w:val="0"/>
        <w:pageBreakBefore w:val="0"/>
        <w:widowControl w:val="0"/>
        <w:numPr>
          <w:ilvl w:val="0"/>
          <w:numId w:val="13"/>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w:t>
      </w:r>
    </w:p>
    <w:p w14:paraId="12C69452">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外出考察费用</w:t>
      </w:r>
    </w:p>
    <w:p w14:paraId="7641A69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经委托人同意，监理人员外出考察发生的费用由委托人审核后支付。</w:t>
      </w:r>
    </w:p>
    <w:p w14:paraId="65C70F34">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检测费用</w:t>
      </w:r>
    </w:p>
    <w:p w14:paraId="54804266">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委托人要求监理人进行的材料和设备检测所发生的费用，由委托人支付，支付时间在专用条件中约定。</w:t>
      </w:r>
    </w:p>
    <w:p w14:paraId="4CB31DFE">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咨询费用</w:t>
      </w:r>
    </w:p>
    <w:p w14:paraId="3841546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经委托人同意，根据工程需要由监理人组织的相关咨询论证会以及聘请相关专家等发生的费用由委托人支付，支付时间在专用条件中约定。</w:t>
      </w:r>
    </w:p>
    <w:p w14:paraId="075D39A3">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奖励</w:t>
      </w:r>
    </w:p>
    <w:p w14:paraId="53696C7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1D277667">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守法诚信</w:t>
      </w:r>
    </w:p>
    <w:p w14:paraId="2879D406">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监理人及其工作人员不得</w:t>
      </w:r>
      <w:r>
        <w:rPr>
          <w:rFonts w:hint="eastAsia" w:ascii="仿宋_GB2312" w:hAnsi="仿宋_GB2312" w:eastAsia="仿宋_GB2312" w:cs="仿宋_GB2312"/>
          <w:color w:val="231F20"/>
          <w:sz w:val="28"/>
          <w:szCs w:val="28"/>
          <w:lang w:eastAsia="zh-CN"/>
        </w:rPr>
        <w:t>从事</w:t>
      </w:r>
      <w:r>
        <w:rPr>
          <w:rFonts w:hint="eastAsia" w:ascii="仿宋_GB2312" w:hAnsi="仿宋_GB2312" w:eastAsia="仿宋_GB2312" w:cs="仿宋_GB2312"/>
          <w:color w:val="231F20"/>
          <w:sz w:val="28"/>
          <w:szCs w:val="28"/>
        </w:rPr>
        <w:t>与实施工程有关的第三方处获得任何经济利益。</w:t>
      </w:r>
    </w:p>
    <w:p w14:paraId="3AEC8933">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保密</w:t>
      </w:r>
    </w:p>
    <w:p w14:paraId="523EBAA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双方不得泄露对方申明的保密资料，亦不得泄露与实施工程有关的第三方所提供的保密资料，保密事项在专用条件中约定。</w:t>
      </w:r>
    </w:p>
    <w:p w14:paraId="2704A381">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通知</w:t>
      </w:r>
    </w:p>
    <w:p w14:paraId="74CC989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本合同涉及的通知均应当采用书面形式，并在送达对方时生效，收件人应书面签收。</w:t>
      </w:r>
    </w:p>
    <w:p w14:paraId="7B959099">
      <w:pPr>
        <w:pStyle w:val="9"/>
        <w:keepNext w:val="0"/>
        <w:keepLines w:val="0"/>
        <w:pageBreakBefore w:val="0"/>
        <w:widowControl w:val="0"/>
        <w:numPr>
          <w:ilvl w:val="1"/>
          <w:numId w:val="13"/>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著作权</w:t>
      </w:r>
    </w:p>
    <w:p w14:paraId="116B1E7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监理人对其编制的文件拥有著作权。</w:t>
      </w:r>
    </w:p>
    <w:p w14:paraId="61FB2A4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3DA46F75">
      <w:pPr>
        <w:keepNext w:val="0"/>
        <w:keepLines w:val="0"/>
        <w:pageBreakBefore w:val="0"/>
        <w:widowControl w:val="0"/>
        <w:kinsoku/>
        <w:wordWrap/>
        <w:overflowPunct/>
        <w:topLinePunct w:val="0"/>
        <w:autoSpaceDE w:val="0"/>
        <w:autoSpaceDN w:val="0"/>
        <w:bidi w:val="0"/>
        <w:snapToGrid/>
        <w:spacing w:before="0" w:after="0" w:line="240" w:lineRule="auto"/>
        <w:ind w:left="0" w:right="0" w:firstLine="560" w:firstLineChars="200"/>
        <w:jc w:val="both"/>
        <w:textAlignment w:val="auto"/>
        <w:rPr>
          <w:rFonts w:hint="eastAsia" w:ascii="仿宋_GB2312" w:hAnsi="仿宋_GB2312" w:eastAsia="仿宋_GB2312" w:cs="仿宋_GB2312"/>
          <w:sz w:val="28"/>
          <w:szCs w:val="28"/>
        </w:rPr>
        <w:sectPr>
          <w:footerReference r:id="rId7" w:type="default"/>
          <w:footerReference r:id="rId8" w:type="even"/>
          <w:pgSz w:w="11910" w:h="16840"/>
          <w:pgMar w:top="1580" w:right="1300" w:bottom="1020" w:left="1300" w:header="0" w:footer="832" w:gutter="0"/>
          <w:cols w:space="720" w:num="1"/>
        </w:sectPr>
      </w:pPr>
    </w:p>
    <w:p w14:paraId="728FE0A5">
      <w:pPr>
        <w:pStyle w:val="2"/>
        <w:keepNext w:val="0"/>
        <w:keepLines w:val="0"/>
        <w:pageBreakBefore w:val="0"/>
        <w:widowControl w:val="0"/>
        <w:tabs>
          <w:tab w:val="left" w:pos="1399"/>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第三部分</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专用条件</w:t>
      </w:r>
    </w:p>
    <w:p w14:paraId="0D229E9B">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定义与解释</w:t>
      </w:r>
    </w:p>
    <w:p w14:paraId="0CE945A1">
      <w:pPr>
        <w:pStyle w:val="9"/>
        <w:keepNext w:val="0"/>
        <w:keepLines w:val="0"/>
        <w:pageBreakBefore w:val="0"/>
        <w:widowControl w:val="0"/>
        <w:numPr>
          <w:ilvl w:val="1"/>
          <w:numId w:val="16"/>
        </w:numPr>
        <w:tabs>
          <w:tab w:val="left" w:pos="93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解释</w:t>
      </w:r>
    </w:p>
    <w:p w14:paraId="1F36248B">
      <w:pPr>
        <w:pStyle w:val="9"/>
        <w:keepNext w:val="0"/>
        <w:keepLines w:val="0"/>
        <w:pageBreakBefore w:val="0"/>
        <w:widowControl w:val="0"/>
        <w:numPr>
          <w:ilvl w:val="2"/>
          <w:numId w:val="16"/>
        </w:numPr>
        <w:tabs>
          <w:tab w:val="left" w:pos="1048"/>
          <w:tab w:val="left" w:pos="907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本合同文件除使用中文外，还可用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68B743C">
      <w:pPr>
        <w:pStyle w:val="9"/>
        <w:keepNext w:val="0"/>
        <w:keepLines w:val="0"/>
        <w:pageBreakBefore w:val="0"/>
        <w:widowControl w:val="0"/>
        <w:numPr>
          <w:ilvl w:val="2"/>
          <w:numId w:val="16"/>
        </w:numPr>
        <w:tabs>
          <w:tab w:val="left" w:pos="1048"/>
          <w:tab w:val="left" w:pos="907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约定本合同文件的解释顺序为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6CEFDB7">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监理人义务</w:t>
      </w:r>
    </w:p>
    <w:p w14:paraId="5D607EB0">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监理的范围和内容</w:t>
      </w:r>
    </w:p>
    <w:p w14:paraId="69C0532B">
      <w:pPr>
        <w:pStyle w:val="9"/>
        <w:keepNext w:val="0"/>
        <w:keepLines w:val="0"/>
        <w:pageBreakBefore w:val="0"/>
        <w:widowControl w:val="0"/>
        <w:numPr>
          <w:ilvl w:val="2"/>
          <w:numId w:val="15"/>
        </w:numPr>
        <w:tabs>
          <w:tab w:val="left" w:pos="1048"/>
          <w:tab w:val="left" w:pos="918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监理范围包括</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32D79D3">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09233F5D">
      <w:pPr>
        <w:pStyle w:val="9"/>
        <w:keepNext w:val="0"/>
        <w:keepLines w:val="0"/>
        <w:pageBreakBefore w:val="0"/>
        <w:widowControl w:val="0"/>
        <w:numPr>
          <w:ilvl w:val="2"/>
          <w:numId w:val="15"/>
        </w:numPr>
        <w:tabs>
          <w:tab w:val="left" w:pos="1048"/>
          <w:tab w:val="left" w:pos="918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监理工作内容还包括</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29B40F54">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01B34D2C">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监理与相关服务依据</w:t>
      </w:r>
    </w:p>
    <w:p w14:paraId="7BD664E0">
      <w:pPr>
        <w:pStyle w:val="9"/>
        <w:keepNext w:val="0"/>
        <w:keepLines w:val="0"/>
        <w:pageBreakBefore w:val="0"/>
        <w:widowControl w:val="0"/>
        <w:numPr>
          <w:ilvl w:val="2"/>
          <w:numId w:val="15"/>
        </w:numPr>
        <w:tabs>
          <w:tab w:val="left" w:pos="1048"/>
          <w:tab w:val="left" w:pos="918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监理依据包括</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1CD97DC0">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5A44BF1">
      <w:pPr>
        <w:pStyle w:val="9"/>
        <w:keepNext w:val="0"/>
        <w:keepLines w:val="0"/>
        <w:pageBreakBefore w:val="0"/>
        <w:widowControl w:val="0"/>
        <w:numPr>
          <w:ilvl w:val="2"/>
          <w:numId w:val="15"/>
        </w:numPr>
        <w:tabs>
          <w:tab w:val="left" w:pos="1048"/>
          <w:tab w:val="left" w:pos="907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相关服务依据包括</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4485BE20">
      <w:pPr>
        <w:pStyle w:val="9"/>
        <w:keepNext w:val="0"/>
        <w:keepLines w:val="0"/>
        <w:pageBreakBefore w:val="0"/>
        <w:widowControl w:val="0"/>
        <w:numPr>
          <w:ilvl w:val="1"/>
          <w:numId w:val="15"/>
        </w:numPr>
        <w:tabs>
          <w:tab w:val="left" w:pos="99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项目监理机构和人员</w:t>
      </w:r>
    </w:p>
    <w:p w14:paraId="1612F9E6">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2.3.4</w:t>
      </w:r>
      <w:r>
        <w:rPr>
          <w:rFonts w:hint="eastAsia" w:ascii="仿宋_GB2312" w:hAnsi="仿宋_GB2312" w:eastAsia="仿宋_GB2312" w:cs="仿宋_GB2312"/>
          <w:color w:val="231F20"/>
          <w:spacing w:val="-2"/>
          <w:sz w:val="28"/>
          <w:szCs w:val="28"/>
        </w:rPr>
        <w:t xml:space="preserve"> </w:t>
      </w:r>
      <w:r>
        <w:rPr>
          <w:rFonts w:hint="eastAsia" w:ascii="仿宋_GB2312" w:hAnsi="仿宋_GB2312" w:eastAsia="仿宋_GB2312" w:cs="仿宋_GB2312"/>
          <w:color w:val="231F20"/>
          <w:sz w:val="28"/>
          <w:szCs w:val="28"/>
        </w:rPr>
        <w:t>更换监理人员的其他情形</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7B714665">
      <w:pPr>
        <w:pStyle w:val="9"/>
        <w:keepNext w:val="0"/>
        <w:keepLines w:val="0"/>
        <w:pageBreakBefore w:val="0"/>
        <w:widowControl w:val="0"/>
        <w:numPr>
          <w:ilvl w:val="1"/>
          <w:numId w:val="17"/>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履行职责</w:t>
      </w:r>
    </w:p>
    <w:p w14:paraId="3ACFF7D4">
      <w:pPr>
        <w:pStyle w:val="9"/>
        <w:keepNext w:val="0"/>
        <w:keepLines w:val="0"/>
        <w:pageBreakBefore w:val="0"/>
        <w:widowControl w:val="0"/>
        <w:numPr>
          <w:ilvl w:val="2"/>
          <w:numId w:val="17"/>
        </w:numPr>
        <w:tabs>
          <w:tab w:val="left" w:pos="1048"/>
          <w:tab w:val="left" w:pos="918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对监理人的授权范围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5B6F312E">
      <w:pPr>
        <w:pStyle w:val="5"/>
        <w:keepNext w:val="0"/>
        <w:keepLines w:val="0"/>
        <w:pageBreakBefore w:val="0"/>
        <w:widowControl w:val="0"/>
        <w:tabs>
          <w:tab w:val="left" w:pos="2865"/>
          <w:tab w:val="left" w:pos="6108"/>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。在涉及工程延期</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天内和（或）金额</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万元内的变更，监理人不需请示</w:t>
      </w:r>
    </w:p>
    <w:p w14:paraId="7B637579">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委托人即可向承包人发布变更通知。</w:t>
      </w:r>
    </w:p>
    <w:p w14:paraId="4416C4E4">
      <w:pPr>
        <w:pStyle w:val="9"/>
        <w:keepNext w:val="0"/>
        <w:keepLines w:val="0"/>
        <w:pageBreakBefore w:val="0"/>
        <w:widowControl w:val="0"/>
        <w:numPr>
          <w:ilvl w:val="2"/>
          <w:numId w:val="17"/>
        </w:numPr>
        <w:tabs>
          <w:tab w:val="left" w:pos="1048"/>
          <w:tab w:val="left" w:pos="896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监理人有权要求承包人调换其人员的限制条件</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8157487">
      <w:pPr>
        <w:pStyle w:val="9"/>
        <w:keepNext w:val="0"/>
        <w:keepLines w:val="0"/>
        <w:pageBreakBefore w:val="0"/>
        <w:widowControl w:val="0"/>
        <w:numPr>
          <w:ilvl w:val="1"/>
          <w:numId w:val="17"/>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提交报告</w:t>
      </w:r>
    </w:p>
    <w:p w14:paraId="26285E4A">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监理人应提交报告的种类（包括监理规划、监理月报及约定的专项报告</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、时间和份数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pacing w:val="-2"/>
          <w:sz w:val="28"/>
          <w:szCs w:val="28"/>
          <w:u w:val="single" w:color="231F20"/>
        </w:rPr>
        <w:t xml:space="preserve"> </w:t>
      </w:r>
    </w:p>
    <w:p w14:paraId="4DDE520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6" o:spid="_x0000_s1026" o:spt="20" style="position:absolute;left:0pt;margin-left:70.85pt;margin-top:21.65pt;height:0pt;width:453.5pt;mso-position-horizontal-relative:page;mso-wrap-distance-bottom:0pt;mso-wrap-distance-top:0pt;z-index:251659264;mso-width-relative:page;mso-height-relative:page;" stroked="t" coordsize="21600,21600">
            <v:path arrowok="t"/>
            <v:fill focussize="0,0"/>
            <v:stroke weight="0.282992125984252pt" color="#231F20"/>
            <v:imagedata o:title=""/>
            <o:lock v:ext="edit"/>
            <w10:wrap type="topAndBottom"/>
          </v:line>
        </w:pict>
      </w:r>
    </w:p>
    <w:p w14:paraId="3A4DDCAF">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2016E32">
      <w:pPr>
        <w:keepNext w:val="0"/>
        <w:keepLines w:val="0"/>
        <w:pageBreakBefore w:val="0"/>
        <w:widowControl w:val="0"/>
        <w:kinsoku/>
        <w:wordWrap/>
        <w:overflowPunct/>
        <w:topLinePunct w:val="0"/>
        <w:autoSpaceDE w:val="0"/>
        <w:autoSpaceDN w:val="0"/>
        <w:bidi w:val="0"/>
        <w:snapToGrid/>
        <w:spacing w:before="0" w:after="0" w:line="240" w:lineRule="auto"/>
        <w:ind w:left="0" w:right="0" w:firstLine="560" w:firstLineChars="200"/>
        <w:textAlignment w:val="auto"/>
        <w:rPr>
          <w:rFonts w:hint="eastAsia" w:ascii="仿宋_GB2312" w:hAnsi="仿宋_GB2312" w:eastAsia="仿宋_GB2312" w:cs="仿宋_GB2312"/>
          <w:sz w:val="28"/>
          <w:szCs w:val="28"/>
        </w:rPr>
        <w:sectPr>
          <w:pgSz w:w="11910" w:h="16840"/>
          <w:pgMar w:top="1580" w:right="1200" w:bottom="1020" w:left="1300" w:header="0" w:footer="832" w:gutter="0"/>
          <w:cols w:space="720" w:num="1"/>
        </w:sectPr>
      </w:pPr>
    </w:p>
    <w:p w14:paraId="1B7215AC">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2.7 使用委托人的财产</w:t>
      </w:r>
    </w:p>
    <w:p w14:paraId="07B28913">
      <w:pPr>
        <w:pStyle w:val="5"/>
        <w:keepNext w:val="0"/>
        <w:keepLines w:val="0"/>
        <w:pageBreakBefore w:val="0"/>
        <w:widowControl w:val="0"/>
        <w:tabs>
          <w:tab w:val="left" w:pos="3688"/>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附录 B 中由委托人无偿提供的房屋、设备的所有权属于</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。监理人应在本合同终止后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天内移交委托人无偿提供的房屋、设备，移交的时间和方</w:t>
      </w:r>
    </w:p>
    <w:p w14:paraId="2B385D94">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式为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12AA237">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委托人义务</w:t>
      </w:r>
    </w:p>
    <w:p w14:paraId="42C4CF12">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3.4 委托人代表</w:t>
      </w:r>
    </w:p>
    <w:p w14:paraId="2BC27F79">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委托人代表为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727DFA4B">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3.6 答复</w:t>
      </w:r>
    </w:p>
    <w:p w14:paraId="25B1F0DA">
      <w:pPr>
        <w:pStyle w:val="5"/>
        <w:keepNext w:val="0"/>
        <w:keepLines w:val="0"/>
        <w:pageBreakBefore w:val="0"/>
        <w:widowControl w:val="0"/>
        <w:tabs>
          <w:tab w:val="left" w:pos="2310"/>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委托人同意在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天内，对监理人书面提交并要求</w:t>
      </w:r>
      <w:r>
        <w:rPr>
          <w:rFonts w:hint="eastAsia" w:ascii="仿宋_GB2312" w:hAnsi="仿宋_GB2312" w:eastAsia="仿宋_GB2312" w:cs="仿宋_GB2312"/>
          <w:color w:val="231F20"/>
          <w:sz w:val="28"/>
          <w:szCs w:val="28"/>
          <w:lang w:eastAsia="zh-CN"/>
        </w:rPr>
        <w:t>作出</w:t>
      </w:r>
      <w:r>
        <w:rPr>
          <w:rFonts w:hint="eastAsia" w:ascii="仿宋_GB2312" w:hAnsi="仿宋_GB2312" w:eastAsia="仿宋_GB2312" w:cs="仿宋_GB2312"/>
          <w:color w:val="231F20"/>
          <w:sz w:val="28"/>
          <w:szCs w:val="28"/>
        </w:rPr>
        <w:t>决定的事宜给予书面答复。</w:t>
      </w:r>
    </w:p>
    <w:p w14:paraId="5184C68C">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违约责任</w:t>
      </w:r>
    </w:p>
    <w:p w14:paraId="6673897F">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监理人的违约责任</w:t>
      </w:r>
    </w:p>
    <w:p w14:paraId="50EB256F">
      <w:pPr>
        <w:pStyle w:val="9"/>
        <w:keepNext w:val="0"/>
        <w:keepLines w:val="0"/>
        <w:pageBreakBefore w:val="0"/>
        <w:widowControl w:val="0"/>
        <w:numPr>
          <w:ilvl w:val="2"/>
          <w:numId w:val="15"/>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监理人赔偿金额按下列方法确定：</w:t>
      </w:r>
    </w:p>
    <w:p w14:paraId="5F67281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赔偿金＝直接经济损失 × 正常工作酬金 ÷ 工程概算投资额（或建筑安装工程费）</w:t>
      </w:r>
    </w:p>
    <w:p w14:paraId="5CCF6593">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委托人的违约责任</w:t>
      </w:r>
    </w:p>
    <w:p w14:paraId="6CE2FE85">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4.2.3 委托人逾期付款利息按下列方法确定：</w:t>
      </w:r>
    </w:p>
    <w:p w14:paraId="5F8A9DF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逾期付款利息＝当期应付款总额 × 银行同期贷款利率 × 拖延支付天数</w:t>
      </w:r>
    </w:p>
    <w:p w14:paraId="6A7375D4">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w:t>
      </w:r>
    </w:p>
    <w:p w14:paraId="73221D7B">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支付货币</w:t>
      </w:r>
    </w:p>
    <w:p w14:paraId="1DA48987">
      <w:pPr>
        <w:pStyle w:val="5"/>
        <w:keepNext w:val="0"/>
        <w:keepLines w:val="0"/>
        <w:pageBreakBefore w:val="0"/>
        <w:widowControl w:val="0"/>
        <w:tabs>
          <w:tab w:val="left" w:pos="2482"/>
          <w:tab w:val="left" w:pos="4847"/>
          <w:tab w:val="left" w:pos="7872"/>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币种为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，比例为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，汇率为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6BAC92E">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5.3 支付酬金</w:t>
      </w:r>
    </w:p>
    <w:p w14:paraId="3347A4B0">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正常工作酬金的支付：</w:t>
      </w:r>
    </w:p>
    <w:p w14:paraId="2A6ED92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611"/>
        <w:gridCol w:w="2522"/>
        <w:gridCol w:w="1748"/>
        <w:gridCol w:w="3179"/>
      </w:tblGrid>
      <w:tr w14:paraId="5254926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611" w:type="dxa"/>
          </w:tcPr>
          <w:p w14:paraId="5D29DAB2">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支付次数</w:t>
            </w:r>
          </w:p>
        </w:tc>
        <w:tc>
          <w:tcPr>
            <w:tcW w:w="2522" w:type="dxa"/>
          </w:tcPr>
          <w:p w14:paraId="51C160E1">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支付时间</w:t>
            </w:r>
          </w:p>
        </w:tc>
        <w:tc>
          <w:tcPr>
            <w:tcW w:w="1748" w:type="dxa"/>
          </w:tcPr>
          <w:p w14:paraId="54772970">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支付比例</w:t>
            </w:r>
          </w:p>
        </w:tc>
        <w:tc>
          <w:tcPr>
            <w:tcW w:w="3179" w:type="dxa"/>
          </w:tcPr>
          <w:p w14:paraId="0BE9B291">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支付金额（万元）</w:t>
            </w:r>
          </w:p>
        </w:tc>
      </w:tr>
      <w:tr w14:paraId="4CC42DC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611" w:type="dxa"/>
          </w:tcPr>
          <w:p w14:paraId="24617515">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首付款</w:t>
            </w:r>
          </w:p>
        </w:tc>
        <w:tc>
          <w:tcPr>
            <w:tcW w:w="2522" w:type="dxa"/>
          </w:tcPr>
          <w:p w14:paraId="7285C7BB">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本合同签订后 7 天内</w:t>
            </w:r>
          </w:p>
        </w:tc>
        <w:tc>
          <w:tcPr>
            <w:tcW w:w="1748" w:type="dxa"/>
          </w:tcPr>
          <w:p w14:paraId="1379EB62">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c>
          <w:tcPr>
            <w:tcW w:w="3179" w:type="dxa"/>
          </w:tcPr>
          <w:p w14:paraId="4FFFD78C">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r>
      <w:tr w14:paraId="6FD2F1D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611" w:type="dxa"/>
          </w:tcPr>
          <w:p w14:paraId="24DE9B4F">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第二次付款</w:t>
            </w:r>
          </w:p>
        </w:tc>
        <w:tc>
          <w:tcPr>
            <w:tcW w:w="2522" w:type="dxa"/>
          </w:tcPr>
          <w:p w14:paraId="3509B37D">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p>
        </w:tc>
        <w:tc>
          <w:tcPr>
            <w:tcW w:w="1748" w:type="dxa"/>
          </w:tcPr>
          <w:p w14:paraId="406DA06D">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c>
          <w:tcPr>
            <w:tcW w:w="3179" w:type="dxa"/>
          </w:tcPr>
          <w:p w14:paraId="3D4B97C5">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r>
      <w:tr w14:paraId="28AFF6B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611" w:type="dxa"/>
          </w:tcPr>
          <w:p w14:paraId="581B2F2C">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第三次付款</w:t>
            </w:r>
          </w:p>
        </w:tc>
        <w:tc>
          <w:tcPr>
            <w:tcW w:w="2522" w:type="dxa"/>
          </w:tcPr>
          <w:p w14:paraId="1D584CA9">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p>
        </w:tc>
        <w:tc>
          <w:tcPr>
            <w:tcW w:w="1748" w:type="dxa"/>
          </w:tcPr>
          <w:p w14:paraId="51127CDE">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c>
          <w:tcPr>
            <w:tcW w:w="3179" w:type="dxa"/>
          </w:tcPr>
          <w:p w14:paraId="6231B8A5">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r>
      <w:tr w14:paraId="53CE2E4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611" w:type="dxa"/>
          </w:tcPr>
          <w:p w14:paraId="6D2F1A3B">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w:t>
            </w:r>
          </w:p>
        </w:tc>
        <w:tc>
          <w:tcPr>
            <w:tcW w:w="2522" w:type="dxa"/>
          </w:tcPr>
          <w:p w14:paraId="07263A4A">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p>
        </w:tc>
        <w:tc>
          <w:tcPr>
            <w:tcW w:w="1748" w:type="dxa"/>
          </w:tcPr>
          <w:p w14:paraId="697215E5">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c>
          <w:tcPr>
            <w:tcW w:w="3179" w:type="dxa"/>
          </w:tcPr>
          <w:p w14:paraId="3F7A433B">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r>
      <w:tr w14:paraId="29ECDB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0" w:hRule="atLeast"/>
        </w:trPr>
        <w:tc>
          <w:tcPr>
            <w:tcW w:w="1611" w:type="dxa"/>
          </w:tcPr>
          <w:p w14:paraId="45AF1A6C">
            <w:pPr>
              <w:pStyle w:val="10"/>
              <w:keepNext w:val="0"/>
              <w:keepLines w:val="0"/>
              <w:pageBreakBefore w:val="0"/>
              <w:widowControl w:val="0"/>
              <w:kinsoku/>
              <w:wordWrap/>
              <w:overflowPunct/>
              <w:topLinePunct w:val="0"/>
              <w:autoSpaceDE w:val="0"/>
              <w:autoSpaceDN w:val="0"/>
              <w:bidi w:val="0"/>
              <w:snapToGrid/>
              <w:spacing w:before="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最后付款</w:t>
            </w:r>
          </w:p>
        </w:tc>
        <w:tc>
          <w:tcPr>
            <w:tcW w:w="2522" w:type="dxa"/>
          </w:tcPr>
          <w:p w14:paraId="0BA70072">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31F20"/>
                <w:sz w:val="24"/>
                <w:szCs w:val="24"/>
              </w:rPr>
              <w:t>监理与相关服务期届满 14 天内</w:t>
            </w:r>
          </w:p>
        </w:tc>
        <w:tc>
          <w:tcPr>
            <w:tcW w:w="1748" w:type="dxa"/>
          </w:tcPr>
          <w:p w14:paraId="1E7D59C5">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c>
          <w:tcPr>
            <w:tcW w:w="3179" w:type="dxa"/>
          </w:tcPr>
          <w:p w14:paraId="0F3C634E">
            <w:pPr>
              <w:pStyle w:val="10"/>
              <w:keepNext w:val="0"/>
              <w:keepLines w:val="0"/>
              <w:pageBreakBefore w:val="0"/>
              <w:widowControl w:val="0"/>
              <w:kinsoku/>
              <w:wordWrap/>
              <w:overflowPunct/>
              <w:topLinePunct w:val="0"/>
              <w:autoSpaceDE w:val="0"/>
              <w:autoSpaceDN w:val="0"/>
              <w:bidi w:val="0"/>
              <w:snapToGrid/>
              <w:spacing w:before="0" w:line="240" w:lineRule="auto"/>
              <w:ind w:left="0" w:right="0" w:firstLine="480" w:firstLineChars="200"/>
              <w:textAlignment w:val="auto"/>
              <w:rPr>
                <w:rFonts w:hint="eastAsia" w:ascii="仿宋_GB2312" w:hAnsi="仿宋_GB2312" w:eastAsia="仿宋_GB2312" w:cs="仿宋_GB2312"/>
                <w:sz w:val="24"/>
                <w:szCs w:val="24"/>
              </w:rPr>
            </w:pPr>
          </w:p>
        </w:tc>
      </w:tr>
    </w:tbl>
    <w:p w14:paraId="115B2309">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p>
    <w:p w14:paraId="0AF715A7">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合同生效、变更、暂停、解除与终止</w:t>
      </w:r>
    </w:p>
    <w:p w14:paraId="7859ED67">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生效</w:t>
      </w:r>
    </w:p>
    <w:p w14:paraId="0A878F82">
      <w:pPr>
        <w:pStyle w:val="5"/>
        <w:keepNext w:val="0"/>
        <w:keepLines w:val="0"/>
        <w:pageBreakBefore w:val="0"/>
        <w:widowControl w:val="0"/>
        <w:tabs>
          <w:tab w:val="left" w:pos="907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本合同生效条件</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A6118C8">
      <w:pPr>
        <w:keepNext w:val="0"/>
        <w:keepLines w:val="0"/>
        <w:pageBreakBefore w:val="0"/>
        <w:widowControl w:val="0"/>
        <w:kinsoku/>
        <w:wordWrap/>
        <w:overflowPunct/>
        <w:topLinePunct w:val="0"/>
        <w:autoSpaceDE w:val="0"/>
        <w:autoSpaceDN w:val="0"/>
        <w:bidi w:val="0"/>
        <w:snapToGrid/>
        <w:spacing w:before="0" w:after="0" w:line="240" w:lineRule="auto"/>
        <w:ind w:left="0" w:right="0" w:firstLine="560" w:firstLineChars="200"/>
        <w:textAlignment w:val="auto"/>
        <w:rPr>
          <w:rFonts w:hint="eastAsia" w:ascii="仿宋_GB2312" w:hAnsi="仿宋_GB2312" w:eastAsia="仿宋_GB2312" w:cs="仿宋_GB2312"/>
          <w:sz w:val="28"/>
          <w:szCs w:val="28"/>
        </w:rPr>
        <w:sectPr>
          <w:pgSz w:w="11910" w:h="16840"/>
          <w:pgMar w:top="1580" w:right="1200" w:bottom="1020" w:left="1300" w:header="0" w:footer="832" w:gutter="0"/>
          <w:cols w:space="720" w:num="1"/>
        </w:sectPr>
      </w:pPr>
    </w:p>
    <w:p w14:paraId="7DF4CAA1">
      <w:pPr>
        <w:pStyle w:val="9"/>
        <w:keepNext w:val="0"/>
        <w:keepLines w:val="0"/>
        <w:pageBreakBefore w:val="0"/>
        <w:widowControl w:val="0"/>
        <w:numPr>
          <w:ilvl w:val="1"/>
          <w:numId w:val="15"/>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变更</w:t>
      </w:r>
    </w:p>
    <w:p w14:paraId="7EC82702">
      <w:pPr>
        <w:pStyle w:val="9"/>
        <w:keepNext w:val="0"/>
        <w:keepLines w:val="0"/>
        <w:pageBreakBefore w:val="0"/>
        <w:widowControl w:val="0"/>
        <w:numPr>
          <w:ilvl w:val="2"/>
          <w:numId w:val="18"/>
        </w:numPr>
        <w:tabs>
          <w:tab w:val="left" w:pos="1066"/>
        </w:tabs>
        <w:kinsoku/>
        <w:wordWrap/>
        <w:overflowPunct/>
        <w:topLinePunct w:val="0"/>
        <w:autoSpaceDE w:val="0"/>
        <w:autoSpaceDN w:val="0"/>
        <w:bidi w:val="0"/>
        <w:snapToGrid/>
        <w:spacing w:before="0" w:after="0" w:line="240" w:lineRule="auto"/>
        <w:ind w:left="0" w:right="0" w:firstLine="53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6"/>
          <w:sz w:val="28"/>
          <w:szCs w:val="28"/>
        </w:rPr>
        <w:t>除不可抗力外，因非监理人原因导致本合同期限延长时，附加工作酬金按下列方法确定：</w:t>
      </w:r>
    </w:p>
    <w:p w14:paraId="71F6158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附加工作酬金 = 本合同期限延长时间（天）× 正常工作酬金 ÷ 协议书约定的监理与相关服务期限（天）</w:t>
      </w:r>
    </w:p>
    <w:p w14:paraId="6EC12657">
      <w:pPr>
        <w:pStyle w:val="9"/>
        <w:keepNext w:val="0"/>
        <w:keepLines w:val="0"/>
        <w:pageBreakBefore w:val="0"/>
        <w:widowControl w:val="0"/>
        <w:numPr>
          <w:ilvl w:val="2"/>
          <w:numId w:val="18"/>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附加工作酬金按下列方法确定：</w:t>
      </w:r>
    </w:p>
    <w:p w14:paraId="17F570D1">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附加工作酬金 = 善后工作及恢复服务的准备工作时间（天）× 正常工作酬金 ÷ 协议书约定的监理与相关服务期限（天）</w:t>
      </w:r>
    </w:p>
    <w:p w14:paraId="6B5DF365">
      <w:pPr>
        <w:pStyle w:val="9"/>
        <w:keepNext w:val="0"/>
        <w:keepLines w:val="0"/>
        <w:pageBreakBefore w:val="0"/>
        <w:widowControl w:val="0"/>
        <w:numPr>
          <w:ilvl w:val="2"/>
          <w:numId w:val="19"/>
        </w:numPr>
        <w:tabs>
          <w:tab w:val="left" w:pos="1048"/>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正常工作酬金增加额按下列方法确定：</w:t>
      </w:r>
    </w:p>
    <w:p w14:paraId="7138A16F">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正常工作酬金增加额 = 工程投资额或建筑安装工程费增加额 × 正常工作酬金 ÷ 工程概算投资额（或建筑安装工程费）</w:t>
      </w:r>
    </w:p>
    <w:p w14:paraId="5FA35BAC">
      <w:pPr>
        <w:pStyle w:val="9"/>
        <w:keepNext w:val="0"/>
        <w:keepLines w:val="0"/>
        <w:pageBreakBefore w:val="0"/>
        <w:widowControl w:val="0"/>
        <w:numPr>
          <w:ilvl w:val="2"/>
          <w:numId w:val="19"/>
        </w:numPr>
        <w:tabs>
          <w:tab w:val="left" w:pos="1049"/>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因工程规模、监理范围的变化导致监理人的正常工作量减少时，按减少工作量的比例从协议书约定的正常工作酬金中扣减相同比例的酬金。</w:t>
      </w:r>
    </w:p>
    <w:p w14:paraId="528F3EEB">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争议解决</w:t>
      </w:r>
    </w:p>
    <w:p w14:paraId="2A666D32">
      <w:pPr>
        <w:keepNext w:val="0"/>
        <w:keepLines w:val="0"/>
        <w:pageBreakBefore w:val="0"/>
        <w:widowControl w:val="0"/>
        <w:kinsoku/>
        <w:wordWrap/>
        <w:overflowPunct/>
        <w:topLinePunct w:val="0"/>
        <w:autoSpaceDE w:val="0"/>
        <w:autoSpaceDN w:val="0"/>
        <w:bidi w:val="0"/>
        <w:adjustRightInd w:val="0"/>
        <w:snapToGrid/>
        <w:spacing w:before="0" w:line="240" w:lineRule="auto"/>
        <w:ind w:left="0" w:right="0" w:firstLine="560" w:firstLineChars="20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因本合同引起的或与本合同有关的任何争议，均提请绵阳仲裁委员会按照该会仲裁规则进行仲裁。仲裁裁决是终局的，对双方均有约束力。</w:t>
      </w:r>
    </w:p>
    <w:p w14:paraId="6B5DEAEC">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w:t>
      </w:r>
    </w:p>
    <w:p w14:paraId="062EF958">
      <w:pPr>
        <w:pStyle w:val="9"/>
        <w:keepNext w:val="0"/>
        <w:keepLines w:val="0"/>
        <w:pageBreakBefore w:val="0"/>
        <w:widowControl w:val="0"/>
        <w:numPr>
          <w:ilvl w:val="1"/>
          <w:numId w:val="2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检测费用</w:t>
      </w:r>
    </w:p>
    <w:p w14:paraId="59BB4C06">
      <w:pPr>
        <w:pStyle w:val="5"/>
        <w:keepNext w:val="0"/>
        <w:keepLines w:val="0"/>
        <w:pageBreakBefore w:val="0"/>
        <w:widowControl w:val="0"/>
        <w:tabs>
          <w:tab w:val="left" w:pos="4347"/>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委托人应在检测工作完成后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天内支付检测费用。</w:t>
      </w:r>
    </w:p>
    <w:p w14:paraId="6B589EE3">
      <w:pPr>
        <w:pStyle w:val="9"/>
        <w:keepNext w:val="0"/>
        <w:keepLines w:val="0"/>
        <w:pageBreakBefore w:val="0"/>
        <w:widowControl w:val="0"/>
        <w:numPr>
          <w:ilvl w:val="1"/>
          <w:numId w:val="2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咨询费用</w:t>
      </w:r>
    </w:p>
    <w:p w14:paraId="1E14C664">
      <w:pPr>
        <w:pStyle w:val="5"/>
        <w:keepNext w:val="0"/>
        <w:keepLines w:val="0"/>
        <w:pageBreakBefore w:val="0"/>
        <w:widowControl w:val="0"/>
        <w:tabs>
          <w:tab w:val="left" w:pos="4347"/>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委托人应在咨询工作完成后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天内支付咨询费用。</w:t>
      </w:r>
    </w:p>
    <w:p w14:paraId="566BAD83">
      <w:pPr>
        <w:pStyle w:val="9"/>
        <w:keepNext w:val="0"/>
        <w:keepLines w:val="0"/>
        <w:pageBreakBefore w:val="0"/>
        <w:widowControl w:val="0"/>
        <w:numPr>
          <w:ilvl w:val="1"/>
          <w:numId w:val="20"/>
        </w:numPr>
        <w:tabs>
          <w:tab w:val="left" w:pos="884"/>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奖励</w:t>
      </w:r>
    </w:p>
    <w:p w14:paraId="2CB76A3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合理化建议的奖励金额按下列方法确定为：</w:t>
      </w:r>
    </w:p>
    <w:p w14:paraId="28C46D19">
      <w:pPr>
        <w:pStyle w:val="5"/>
        <w:keepNext w:val="0"/>
        <w:keepLines w:val="0"/>
        <w:pageBreakBefore w:val="0"/>
        <w:widowControl w:val="0"/>
        <w:tabs>
          <w:tab w:val="left" w:pos="3576"/>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奖励金额＝工程投资节省额 × 奖励金额的比率； 奖励金额的比率为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1"/>
          <w:sz w:val="28"/>
          <w:szCs w:val="28"/>
        </w:rPr>
        <w:t>%。</w:t>
      </w:r>
    </w:p>
    <w:p w14:paraId="327DB134">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8.6 保密</w:t>
      </w:r>
    </w:p>
    <w:p w14:paraId="0753591F">
      <w:pPr>
        <w:pStyle w:val="5"/>
        <w:keepNext w:val="0"/>
        <w:keepLines w:val="0"/>
        <w:pageBreakBefore w:val="0"/>
        <w:widowControl w:val="0"/>
        <w:tabs>
          <w:tab w:val="left" w:pos="8037"/>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委托人申明的保密事项和期限</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6E10B1FD">
      <w:pPr>
        <w:keepNext w:val="0"/>
        <w:keepLines w:val="0"/>
        <w:pageBreakBefore w:val="0"/>
        <w:widowControl w:val="0"/>
        <w:kinsoku/>
        <w:wordWrap/>
        <w:overflowPunct/>
        <w:topLinePunct w:val="0"/>
        <w:autoSpaceDE w:val="0"/>
        <w:autoSpaceDN w:val="0"/>
        <w:bidi w:val="0"/>
        <w:snapToGrid/>
        <w:spacing w:before="0" w:after="0" w:line="240" w:lineRule="auto"/>
        <w:ind w:left="0" w:right="0" w:firstLine="560" w:firstLineChars="200"/>
        <w:textAlignment w:val="auto"/>
        <w:rPr>
          <w:rFonts w:hint="eastAsia" w:ascii="仿宋_GB2312" w:hAnsi="仿宋_GB2312" w:eastAsia="仿宋_GB2312" w:cs="仿宋_GB2312"/>
          <w:sz w:val="28"/>
          <w:szCs w:val="28"/>
        </w:rPr>
        <w:sectPr>
          <w:pgSz w:w="11910" w:h="16840"/>
          <w:pgMar w:top="1580" w:right="1300" w:bottom="1020" w:left="1300" w:header="0" w:footer="832" w:gutter="0"/>
          <w:cols w:space="720" w:num="1"/>
        </w:sectPr>
      </w:pPr>
    </w:p>
    <w:p w14:paraId="2657F886">
      <w:pPr>
        <w:pStyle w:val="5"/>
        <w:keepNext w:val="0"/>
        <w:keepLines w:val="0"/>
        <w:pageBreakBefore w:val="0"/>
        <w:widowControl w:val="0"/>
        <w:tabs>
          <w:tab w:val="left" w:pos="8037"/>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监理人申明的保密事项和期限</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。第三方申明的保密事项和期限</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2864A7E3">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8.8 著作权</w:t>
      </w:r>
    </w:p>
    <w:p w14:paraId="05FB506D">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监理人在本合同履行期间及本合同终止后两年内出版涉及本工程的有关监理与相关服务的资料的限制条件：</w:t>
      </w:r>
    </w:p>
    <w:p w14:paraId="1EDD9AF7">
      <w:pPr>
        <w:pStyle w:val="5"/>
        <w:keepNext w:val="0"/>
        <w:keepLines w:val="0"/>
        <w:pageBreakBefore w:val="0"/>
        <w:widowControl w:val="0"/>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7" o:spid="_x0000_s1027" o:spt="20" style="position:absolute;left:0pt;margin-left:70.85pt;margin-top:21.75pt;height:0pt;width:453.5pt;mso-position-horizontal-relative:page;mso-wrap-distance-bottom:0pt;mso-wrap-distance-top:0pt;z-index:251660288;mso-width-relative:page;mso-height-relative:page;" stroked="t" coordsize="21600,21600">
            <v:path arrowok="t"/>
            <v:fill focussize="0,0"/>
            <v:stroke weight="0.282992125984252pt" color="#231F20"/>
            <v:imagedata o:title=""/>
            <o:lock v:ext="edit"/>
            <w10:wrap type="topAndBottom"/>
          </v:line>
        </w:pict>
      </w:r>
    </w:p>
    <w:p w14:paraId="10DD5ADB">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9C1C278">
      <w:pPr>
        <w:pStyle w:val="9"/>
        <w:keepNext w:val="0"/>
        <w:keepLines w:val="0"/>
        <w:pageBreakBefore w:val="0"/>
        <w:widowControl w:val="0"/>
        <w:numPr>
          <w:ilvl w:val="0"/>
          <w:numId w:val="15"/>
        </w:numPr>
        <w:tabs>
          <w:tab w:val="left" w:pos="802"/>
        </w:tabs>
        <w:kinsoku/>
        <w:wordWrap/>
        <w:overflowPunct/>
        <w:topLinePunct w:val="0"/>
        <w:autoSpaceDE w:val="0"/>
        <w:autoSpaceDN w:val="0"/>
        <w:bidi w:val="0"/>
        <w:snapToGrid/>
        <w:spacing w:before="0" w:after="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补充条款</w:t>
      </w:r>
    </w:p>
    <w:p w14:paraId="348D586E">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送达方式及送达地址条款</w:t>
      </w:r>
    </w:p>
    <w:p w14:paraId="1F77FB51">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合同签订人所填写的地址信息，将作为通知、信件、律师函、法院文书、仲裁文书等一切书面文件的送达地址。若该地址送达的相关文件未成功签收，则文件退回之日视为送达之日。</w:t>
      </w:r>
    </w:p>
    <w:p w14:paraId="3454E49C">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双方确认的送达地址如下：</w:t>
      </w:r>
    </w:p>
    <w:p w14:paraId="79261E3E">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zh-CN" w:bidi="ar-SA"/>
        </w:rPr>
        <w:t>委托人</w:t>
      </w:r>
      <w:r>
        <w:rPr>
          <w:rFonts w:hint="eastAsia" w:ascii="仿宋_GB2312" w:hAnsi="仿宋_GB2312" w:eastAsia="仿宋_GB2312" w:cs="仿宋_GB2312"/>
          <w:color w:val="231F20"/>
          <w:sz w:val="28"/>
          <w:szCs w:val="28"/>
          <w:lang w:val="en-US" w:eastAsia="en-US" w:bidi="ar-SA"/>
        </w:rPr>
        <w:t>收件人：</w:t>
      </w:r>
    </w:p>
    <w:p w14:paraId="3CAB9262">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地址：</w:t>
      </w:r>
    </w:p>
    <w:p w14:paraId="2F31C075">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手机号码：</w:t>
      </w:r>
    </w:p>
    <w:p w14:paraId="27A73C25">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电子邮箱：</w:t>
      </w:r>
    </w:p>
    <w:p w14:paraId="40DA8DB2">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微信号：</w:t>
      </w:r>
    </w:p>
    <w:p w14:paraId="27C92FD4">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zh-CN" w:bidi="ar-SA"/>
        </w:rPr>
        <w:t>监理人</w:t>
      </w:r>
      <w:r>
        <w:rPr>
          <w:rFonts w:hint="eastAsia" w:ascii="仿宋_GB2312" w:hAnsi="仿宋_GB2312" w:eastAsia="仿宋_GB2312" w:cs="仿宋_GB2312"/>
          <w:color w:val="231F20"/>
          <w:sz w:val="28"/>
          <w:szCs w:val="28"/>
          <w:lang w:val="en-US" w:eastAsia="en-US" w:bidi="ar-SA"/>
        </w:rPr>
        <w:t>收件人：</w:t>
      </w:r>
    </w:p>
    <w:p w14:paraId="21C28FC1">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地址：</w:t>
      </w:r>
    </w:p>
    <w:p w14:paraId="43CE6BE4">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手机号码：</w:t>
      </w:r>
    </w:p>
    <w:p w14:paraId="33D2A073">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电子邮箱：</w:t>
      </w:r>
    </w:p>
    <w:p w14:paraId="631B9608">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560" w:firstLineChars="200"/>
        <w:textAlignment w:val="auto"/>
        <w:rPr>
          <w:rFonts w:hint="eastAsia" w:ascii="仿宋_GB2312" w:hAnsi="仿宋_GB2312" w:eastAsia="仿宋_GB2312" w:cs="仿宋_GB2312"/>
          <w:color w:val="231F20"/>
          <w:sz w:val="28"/>
          <w:szCs w:val="28"/>
          <w:lang w:val="en-US" w:eastAsia="en-US" w:bidi="ar-SA"/>
        </w:rPr>
      </w:pPr>
      <w:r>
        <w:rPr>
          <w:rFonts w:hint="eastAsia" w:ascii="仿宋_GB2312" w:hAnsi="仿宋_GB2312" w:eastAsia="仿宋_GB2312" w:cs="仿宋_GB2312"/>
          <w:color w:val="231F20"/>
          <w:sz w:val="28"/>
          <w:szCs w:val="28"/>
          <w:lang w:val="en-US" w:eastAsia="en-US" w:bidi="ar-SA"/>
        </w:rPr>
        <w:t>微信号：</w:t>
      </w:r>
    </w:p>
    <w:p w14:paraId="4256431B">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480" w:firstLineChars="200"/>
        <w:textAlignment w:val="auto"/>
        <w:rPr>
          <w:rFonts w:hint="eastAsia" w:ascii="方正书宋_GBK" w:eastAsia="方正书宋_GBK"/>
        </w:rPr>
      </w:pPr>
    </w:p>
    <w:p w14:paraId="68C47E4C">
      <w:pPr>
        <w:pStyle w:val="4"/>
        <w:keepNext w:val="0"/>
        <w:keepLines w:val="0"/>
        <w:pageBreakBefore w:val="0"/>
        <w:widowControl w:val="0"/>
        <w:tabs>
          <w:tab w:val="left" w:pos="9068"/>
        </w:tabs>
        <w:kinsoku/>
        <w:wordWrap/>
        <w:overflowPunct/>
        <w:topLinePunct w:val="0"/>
        <w:autoSpaceDE w:val="0"/>
        <w:autoSpaceDN w:val="0"/>
        <w:bidi w:val="0"/>
        <w:snapToGrid/>
        <w:spacing w:before="0" w:line="240" w:lineRule="auto"/>
        <w:ind w:left="0" w:right="0" w:firstLine="480" w:firstLineChars="200"/>
        <w:textAlignment w:val="auto"/>
        <w:rPr>
          <w:rFonts w:hint="eastAsia" w:ascii="方正书宋_GBK" w:eastAsia="方正书宋_GBK"/>
        </w:rPr>
      </w:pPr>
    </w:p>
    <w:p w14:paraId="7FAE5EDE">
      <w:pPr>
        <w:pStyle w:val="5"/>
        <w:keepNext w:val="0"/>
        <w:keepLines w:val="0"/>
        <w:pageBreakBefore w:val="0"/>
        <w:widowControl w:val="0"/>
        <w:tabs>
          <w:tab w:val="left" w:pos="1819"/>
          <w:tab w:val="left" w:pos="3293"/>
          <w:tab w:val="left" w:pos="5157"/>
          <w:tab w:val="left" w:pos="7299"/>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委托人</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（盖章）</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监理人</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（盖章）</w:t>
      </w:r>
      <w:r>
        <w:rPr>
          <w:rFonts w:hint="eastAsia" w:ascii="仿宋_GB2312" w:hAnsi="仿宋_GB2312" w:eastAsia="仿宋_GB2312" w:cs="仿宋_GB2312"/>
          <w:color w:val="231F20"/>
          <w:spacing w:val="-2"/>
          <w:sz w:val="22"/>
          <w:szCs w:val="22"/>
          <w:u w:val="single" w:color="231F20"/>
        </w:rPr>
        <w:t xml:space="preserve"> </w:t>
      </w:r>
    </w:p>
    <w:p w14:paraId="0CD0A3E3">
      <w:pPr>
        <w:pStyle w:val="5"/>
        <w:keepNext w:val="0"/>
        <w:keepLines w:val="0"/>
        <w:pageBreakBefore w:val="0"/>
        <w:widowControl w:val="0"/>
        <w:tabs>
          <w:tab w:val="left" w:pos="3283"/>
          <w:tab w:val="left" w:pos="5157"/>
          <w:tab w:val="left" w:pos="827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住所</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住所</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45108E03">
      <w:pPr>
        <w:pStyle w:val="5"/>
        <w:keepNext w:val="0"/>
        <w:keepLines w:val="0"/>
        <w:pageBreakBefore w:val="0"/>
        <w:widowControl w:val="0"/>
        <w:tabs>
          <w:tab w:val="left" w:pos="3290"/>
          <w:tab w:val="left" w:pos="5157"/>
          <w:tab w:val="left" w:pos="8380"/>
        </w:tabs>
        <w:kinsoku/>
        <w:wordWrap/>
        <w:overflowPunct/>
        <w:topLinePunct w:val="0"/>
        <w:autoSpaceDE w:val="0"/>
        <w:autoSpaceDN w:val="0"/>
        <w:bidi w:val="0"/>
        <w:adjustRightInd/>
        <w:snapToGrid/>
        <w:spacing w:line="319" w:lineRule="auto"/>
        <w:ind w:left="0" w:right="542"/>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法定代表人或其授</w:t>
      </w:r>
      <w:r>
        <w:rPr>
          <w:rFonts w:hint="eastAsia" w:ascii="仿宋_GB2312" w:hAnsi="仿宋_GB2312" w:eastAsia="仿宋_GB2312" w:cs="仿宋_GB2312"/>
          <w:color w:val="231F20"/>
          <w:spacing w:val="52"/>
          <w:sz w:val="22"/>
          <w:szCs w:val="22"/>
        </w:rPr>
        <w:t>权</w:t>
      </w:r>
      <w:r>
        <w:rPr>
          <w:rFonts w:hint="eastAsia" w:ascii="仿宋_GB2312" w:hAnsi="仿宋_GB2312" w:eastAsia="仿宋_GB2312" w:cs="仿宋_GB2312"/>
          <w:color w:val="231F20"/>
          <w:sz w:val="22"/>
          <w:szCs w:val="22"/>
        </w:rPr>
        <w:t>的代理人：</w:t>
      </w:r>
      <w:r>
        <w:rPr>
          <w:rFonts w:hint="eastAsia" w:ascii="仿宋_GB2312" w:hAnsi="仿宋_GB2312" w:eastAsia="仿宋_GB2312" w:cs="仿宋_GB2312"/>
          <w:color w:val="231F20"/>
          <w:sz w:val="22"/>
          <w:szCs w:val="22"/>
          <w:lang w:val="en-US" w:eastAsia="zh-CN"/>
        </w:rPr>
        <w:t xml:space="preserve">  </w:t>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法定代表人或其授权的代理人：</w:t>
      </w:r>
    </w:p>
    <w:p w14:paraId="34EEDAD0">
      <w:pPr>
        <w:pStyle w:val="5"/>
        <w:keepNext w:val="0"/>
        <w:keepLines w:val="0"/>
        <w:pageBreakBefore w:val="0"/>
        <w:widowControl w:val="0"/>
        <w:tabs>
          <w:tab w:val="left" w:pos="3352"/>
          <w:tab w:val="left" w:pos="3401"/>
          <w:tab w:val="left" w:pos="5157"/>
          <w:tab w:val="left" w:pos="6367"/>
          <w:tab w:val="left" w:pos="7898"/>
          <w:tab w:val="left" w:pos="8441"/>
        </w:tabs>
        <w:kinsoku/>
        <w:wordWrap/>
        <w:overflowPunct/>
        <w:topLinePunct w:val="0"/>
        <w:autoSpaceDE w:val="0"/>
        <w:autoSpaceDN w:val="0"/>
        <w:bidi w:val="0"/>
        <w:adjustRightInd/>
        <w:snapToGrid/>
        <w:spacing w:before="25" w:line="319" w:lineRule="auto"/>
        <w:ind w:left="0" w:right="481" w:firstLine="121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w:t>
      </w:r>
      <w:r>
        <w:rPr>
          <w:rFonts w:hint="eastAsia" w:ascii="仿宋_GB2312" w:hAnsi="仿宋_GB2312" w:eastAsia="仿宋_GB2312" w:cs="仿宋_GB2312"/>
          <w:color w:val="231F20"/>
          <w:sz w:val="22"/>
          <w:szCs w:val="22"/>
          <w:u w:val="single" w:color="231F20"/>
        </w:rPr>
        <w:t>签字）</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w:t>
      </w:r>
      <w:r>
        <w:rPr>
          <w:rFonts w:hint="eastAsia" w:ascii="仿宋_GB2312" w:hAnsi="仿宋_GB2312" w:eastAsia="仿宋_GB2312" w:cs="仿宋_GB2312"/>
          <w:color w:val="231F20"/>
          <w:sz w:val="22"/>
          <w:szCs w:val="22"/>
          <w:u w:val="single" w:color="231F20"/>
        </w:rPr>
        <w:t>签字）</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 xml:space="preserve">       开户银行</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开户银行</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u w:val="single" w:color="231F20"/>
        </w:rPr>
        <w:tab/>
      </w:r>
    </w:p>
    <w:p w14:paraId="18221E5B">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spacing w:before="25"/>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账号</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账号</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4907C6DF">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电话</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电话</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2A8DD4B8">
      <w:pPr>
        <w:pStyle w:val="5"/>
        <w:keepNext w:val="0"/>
        <w:keepLines w:val="0"/>
        <w:pageBreakBefore w:val="0"/>
        <w:widowControl w:val="0"/>
        <w:tabs>
          <w:tab w:val="left" w:pos="3398"/>
          <w:tab w:val="left" w:pos="5157"/>
          <w:tab w:val="left" w:pos="8492"/>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传真</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传真</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59D0FFB6">
      <w:pPr>
        <w:pStyle w:val="5"/>
        <w:keepNext w:val="0"/>
        <w:keepLines w:val="0"/>
        <w:pageBreakBefore w:val="0"/>
        <w:widowControl w:val="0"/>
        <w:tabs>
          <w:tab w:val="left" w:pos="3347"/>
          <w:tab w:val="left" w:pos="5157"/>
          <w:tab w:val="left" w:pos="8495"/>
        </w:tabs>
        <w:kinsoku/>
        <w:wordWrap/>
        <w:overflowPunct/>
        <w:topLinePunct w:val="0"/>
        <w:autoSpaceDE w:val="0"/>
        <w:autoSpaceDN w:val="0"/>
        <w:bidi w:val="0"/>
        <w:adjustRightInd/>
        <w:snapToGrid/>
        <w:ind w:left="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231F20"/>
          <w:sz w:val="22"/>
          <w:szCs w:val="22"/>
        </w:rPr>
        <w:t>电子邮箱</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r>
        <w:rPr>
          <w:rFonts w:hint="eastAsia" w:ascii="仿宋_GB2312" w:hAnsi="仿宋_GB2312" w:eastAsia="仿宋_GB2312" w:cs="仿宋_GB2312"/>
          <w:color w:val="231F20"/>
          <w:sz w:val="22"/>
          <w:szCs w:val="22"/>
        </w:rPr>
        <w:tab/>
      </w:r>
      <w:r>
        <w:rPr>
          <w:rFonts w:hint="eastAsia" w:ascii="仿宋_GB2312" w:hAnsi="仿宋_GB2312" w:eastAsia="仿宋_GB2312" w:cs="仿宋_GB2312"/>
          <w:color w:val="231F20"/>
          <w:sz w:val="22"/>
          <w:szCs w:val="22"/>
        </w:rPr>
        <w:t>电子邮箱</w:t>
      </w:r>
      <w:r>
        <w:rPr>
          <w:rFonts w:hint="eastAsia" w:ascii="仿宋_GB2312" w:hAnsi="仿宋_GB2312" w:eastAsia="仿宋_GB2312" w:cs="仿宋_GB2312"/>
          <w:color w:val="231F20"/>
          <w:sz w:val="22"/>
          <w:szCs w:val="22"/>
          <w:u w:val="single" w:color="231F20"/>
        </w:rPr>
        <w:t>：</w:t>
      </w:r>
      <w:r>
        <w:rPr>
          <w:rFonts w:hint="eastAsia" w:ascii="仿宋_GB2312" w:hAnsi="仿宋_GB2312" w:eastAsia="仿宋_GB2312" w:cs="仿宋_GB2312"/>
          <w:color w:val="231F20"/>
          <w:sz w:val="22"/>
          <w:szCs w:val="22"/>
          <w:u w:val="single" w:color="231F20"/>
        </w:rPr>
        <w:tab/>
      </w:r>
    </w:p>
    <w:p w14:paraId="58BAD4B6">
      <w:pPr>
        <w:spacing w:after="0"/>
        <w:jc w:val="both"/>
        <w:rPr>
          <w:rFonts w:hint="eastAsia" w:ascii="仿宋_GB2312" w:hAnsi="仿宋_GB2312" w:eastAsia="仿宋_GB2312" w:cs="仿宋_GB2312"/>
          <w:sz w:val="22"/>
          <w:szCs w:val="22"/>
        </w:rPr>
        <w:sectPr>
          <w:pgSz w:w="11910" w:h="16840"/>
          <w:pgMar w:top="1580" w:right="1680" w:bottom="1020" w:left="1300" w:header="0" w:footer="832" w:gutter="0"/>
          <w:cols w:space="720" w:num="1"/>
        </w:sectPr>
      </w:pPr>
    </w:p>
    <w:p w14:paraId="79FFF625">
      <w:pPr>
        <w:pStyle w:val="5"/>
        <w:spacing w:before="24"/>
        <w:ind w:left="557"/>
        <w:rPr>
          <w:rFonts w:hint="eastAsia" w:ascii="方正黑体_GBK" w:eastAsia="方正黑体_GBK"/>
          <w:color w:val="231F20"/>
          <w:spacing w:val="-3"/>
        </w:rPr>
      </w:pPr>
    </w:p>
    <w:p w14:paraId="558C4C91">
      <w:pPr>
        <w:pStyle w:val="5"/>
        <w:spacing w:before="24"/>
        <w:ind w:left="557"/>
        <w:rPr>
          <w:rFonts w:hint="eastAsia" w:ascii="方正黑体_GBK" w:eastAsia="方正黑体_GBK"/>
          <w:color w:val="231F20"/>
          <w:spacing w:val="-3"/>
        </w:rPr>
      </w:pPr>
    </w:p>
    <w:p w14:paraId="2111A8C9">
      <w:pPr>
        <w:pStyle w:val="5"/>
        <w:spacing w:before="24"/>
        <w:ind w:left="557"/>
        <w:rPr>
          <w:rFonts w:hint="eastAsia" w:ascii="方正黑体_GBK" w:eastAsia="方正黑体_GBK"/>
          <w:color w:val="231F20"/>
          <w:spacing w:val="-3"/>
        </w:rPr>
      </w:pPr>
    </w:p>
    <w:p w14:paraId="59A8569D">
      <w:pPr>
        <w:pStyle w:val="5"/>
        <w:spacing w:before="24"/>
        <w:ind w:left="557"/>
        <w:rPr>
          <w:rFonts w:hint="eastAsia" w:ascii="方正黑体_GBK" w:eastAsia="方正黑体_GBK"/>
          <w:color w:val="231F20"/>
          <w:spacing w:val="-3"/>
        </w:rPr>
      </w:pPr>
    </w:p>
    <w:p w14:paraId="6CFA0DBA">
      <w:pPr>
        <w:pStyle w:val="5"/>
        <w:spacing w:before="24"/>
        <w:ind w:left="557"/>
        <w:rPr>
          <w:rFonts w:hint="eastAsia" w:ascii="方正黑体_GBK" w:eastAsia="方正黑体_GBK"/>
          <w:color w:val="231F20"/>
          <w:spacing w:val="-3"/>
        </w:rPr>
      </w:pPr>
    </w:p>
    <w:p w14:paraId="7213E13C">
      <w:pPr>
        <w:pStyle w:val="5"/>
        <w:spacing w:before="24"/>
        <w:ind w:left="557"/>
        <w:rPr>
          <w:rFonts w:hint="eastAsia" w:ascii="方正黑体_GBK" w:eastAsia="方正黑体_GBK"/>
          <w:color w:val="231F20"/>
          <w:spacing w:val="-3"/>
        </w:rPr>
      </w:pPr>
    </w:p>
    <w:p w14:paraId="5F6FFE2A">
      <w:pPr>
        <w:pStyle w:val="5"/>
        <w:spacing w:before="24"/>
        <w:ind w:left="557"/>
        <w:rPr>
          <w:rFonts w:hint="eastAsia" w:ascii="方正黑体_GBK" w:eastAsia="方正黑体_GBK"/>
          <w:color w:val="231F20"/>
          <w:spacing w:val="-3"/>
        </w:rPr>
      </w:pPr>
    </w:p>
    <w:p w14:paraId="2E8A08F5">
      <w:pPr>
        <w:pStyle w:val="5"/>
        <w:spacing w:before="24"/>
        <w:ind w:left="557"/>
        <w:rPr>
          <w:rFonts w:hint="eastAsia" w:ascii="方正黑体_GBK" w:eastAsia="方正黑体_GBK"/>
          <w:color w:val="231F20"/>
          <w:spacing w:val="-3"/>
        </w:rPr>
      </w:pPr>
    </w:p>
    <w:p w14:paraId="1C902EE4">
      <w:pPr>
        <w:pStyle w:val="5"/>
        <w:spacing w:before="24"/>
        <w:ind w:left="557"/>
        <w:rPr>
          <w:rFonts w:hint="eastAsia" w:ascii="方正黑体_GBK" w:eastAsia="方正黑体_GBK"/>
        </w:rPr>
      </w:pPr>
      <w:bookmarkStart w:id="0" w:name="_GoBack"/>
      <w:bookmarkEnd w:id="0"/>
      <w:r>
        <w:rPr>
          <w:rFonts w:hint="eastAsia" w:ascii="方正黑体_GBK" w:eastAsia="方正黑体_GBK"/>
          <w:color w:val="231F20"/>
          <w:spacing w:val="-3"/>
        </w:rPr>
        <w:t xml:space="preserve">附录 </w:t>
      </w:r>
      <w:r>
        <w:rPr>
          <w:rFonts w:hint="eastAsia" w:ascii="方正黑体_GBK" w:eastAsia="方正黑体_GBK"/>
          <w:color w:val="231F20"/>
        </w:rPr>
        <w:t>A</w:t>
      </w:r>
    </w:p>
    <w:p w14:paraId="5E05D9ED">
      <w:pPr>
        <w:pStyle w:val="5"/>
        <w:spacing w:before="7"/>
        <w:ind w:left="0"/>
        <w:rPr>
          <w:rFonts w:ascii="方正黑体_GBK"/>
          <w:sz w:val="30"/>
        </w:rPr>
      </w:pPr>
      <w:r>
        <w:br w:type="column"/>
      </w:r>
    </w:p>
    <w:p w14:paraId="2F482D0E">
      <w:pPr>
        <w:spacing w:before="0"/>
        <w:ind w:left="557" w:right="0" w:firstLine="0"/>
        <w:jc w:val="left"/>
        <w:rPr>
          <w:rFonts w:hint="eastAsia" w:ascii="方正黑体_GBK" w:eastAsia="方正黑体_GBK"/>
          <w:sz w:val="26"/>
        </w:rPr>
      </w:pPr>
      <w:r>
        <w:rPr>
          <w:rFonts w:hint="eastAsia" w:ascii="方正黑体_GBK" w:eastAsia="方正黑体_GBK"/>
          <w:color w:val="231F20"/>
          <w:sz w:val="26"/>
        </w:rPr>
        <w:t>相关服务的范围和内容</w:t>
      </w:r>
    </w:p>
    <w:p w14:paraId="751D2EBF">
      <w:pPr>
        <w:spacing w:after="0"/>
        <w:jc w:val="left"/>
        <w:rPr>
          <w:rFonts w:hint="eastAsia" w:ascii="方正黑体_GBK" w:eastAsia="方正黑体_GBK"/>
          <w:sz w:val="26"/>
        </w:rPr>
        <w:sectPr>
          <w:type w:val="continuous"/>
          <w:pgSz w:w="11910" w:h="16840"/>
          <w:pgMar w:top="1580" w:right="1200" w:bottom="1020" w:left="1300" w:header="720" w:footer="720" w:gutter="0"/>
          <w:cols w:equalWidth="0" w:num="2">
            <w:col w:w="1199" w:space="1597"/>
            <w:col w:w="6614"/>
          </w:cols>
        </w:sectPr>
      </w:pPr>
    </w:p>
    <w:p w14:paraId="5E1200D2">
      <w:pPr>
        <w:pStyle w:val="5"/>
        <w:spacing w:before="0"/>
        <w:ind w:left="0"/>
        <w:rPr>
          <w:rFonts w:ascii="方正黑体_GBK"/>
          <w:sz w:val="20"/>
        </w:rPr>
      </w:pPr>
    </w:p>
    <w:p w14:paraId="42CD903C">
      <w:pPr>
        <w:pStyle w:val="5"/>
        <w:spacing w:before="10"/>
        <w:ind w:left="0"/>
        <w:rPr>
          <w:rFonts w:ascii="方正黑体_GBK"/>
          <w:sz w:val="13"/>
        </w:rPr>
      </w:pPr>
    </w:p>
    <w:p w14:paraId="103507CA">
      <w:pPr>
        <w:pStyle w:val="5"/>
        <w:tabs>
          <w:tab w:val="left" w:pos="9188"/>
        </w:tabs>
        <w:spacing w:before="23"/>
        <w:ind w:left="557"/>
      </w:pPr>
      <w:r>
        <w:rPr>
          <w:color w:val="231F20"/>
        </w:rPr>
        <w:t>A-1</w:t>
      </w:r>
      <w:r>
        <w:rPr>
          <w:color w:val="231F20"/>
          <w:spacing w:val="-2"/>
        </w:rPr>
        <w:t xml:space="preserve"> </w:t>
      </w:r>
      <w:r>
        <w:rPr>
          <w:color w:val="231F20"/>
        </w:rPr>
        <w:t>勘察阶段</w:t>
      </w:r>
      <w:r>
        <w:rPr>
          <w:color w:val="231F20"/>
          <w:u w:val="single" w:color="231F20"/>
        </w:rPr>
        <w:t>：</w:t>
      </w:r>
      <w:r>
        <w:rPr>
          <w:color w:val="231F20"/>
          <w:u w:val="single" w:color="231F20"/>
        </w:rPr>
        <w:tab/>
      </w:r>
    </w:p>
    <w:p w14:paraId="3AF4201A">
      <w:pPr>
        <w:pStyle w:val="5"/>
        <w:tabs>
          <w:tab w:val="left" w:pos="9078"/>
          <w:tab w:val="left" w:pos="9188"/>
        </w:tabs>
        <w:spacing w:line="319" w:lineRule="auto"/>
        <w:ind w:left="5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。A-2</w:t>
      </w:r>
      <w:r>
        <w:rPr>
          <w:color w:val="231F20"/>
          <w:spacing w:val="-2"/>
        </w:rPr>
        <w:t xml:space="preserve"> </w:t>
      </w:r>
      <w:r>
        <w:rPr>
          <w:color w:val="231F20"/>
        </w:rPr>
        <w:t>设计阶段</w:t>
      </w:r>
      <w:r>
        <w:rPr>
          <w:color w:val="231F20"/>
          <w:u w:val="single" w:color="231F20"/>
        </w:rPr>
        <w:t>：</w:t>
      </w:r>
      <w:r>
        <w:rPr>
          <w:color w:val="231F20"/>
          <w:u w:val="single" w:color="231F20"/>
        </w:rPr>
        <w:tab/>
      </w:r>
      <w:r>
        <w:rPr>
          <w:color w:val="231F20"/>
          <w:u w:val="single" w:color="231F20"/>
        </w:rPr>
        <w:tab/>
      </w:r>
    </w:p>
    <w:p w14:paraId="2B6E754A">
      <w:pPr>
        <w:pStyle w:val="5"/>
        <w:tabs>
          <w:tab w:val="left" w:pos="9078"/>
          <w:tab w:val="left" w:pos="9188"/>
        </w:tabs>
        <w:spacing w:before="25" w:line="319" w:lineRule="auto"/>
        <w:ind w:left="5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。A-3</w:t>
      </w:r>
      <w:r>
        <w:rPr>
          <w:color w:val="231F20"/>
          <w:spacing w:val="-3"/>
        </w:rPr>
        <w:t xml:space="preserve"> </w:t>
      </w:r>
      <w:r>
        <w:rPr>
          <w:color w:val="231F20"/>
        </w:rPr>
        <w:t>保修阶段</w:t>
      </w:r>
      <w:r>
        <w:rPr>
          <w:color w:val="231F20"/>
          <w:u w:val="single" w:color="231F20"/>
        </w:rPr>
        <w:t>：</w:t>
      </w:r>
      <w:r>
        <w:rPr>
          <w:color w:val="231F20"/>
          <w:u w:val="single" w:color="231F20"/>
        </w:rPr>
        <w:tab/>
      </w:r>
      <w:r>
        <w:rPr>
          <w:color w:val="231F20"/>
          <w:u w:val="single" w:color="231F20"/>
        </w:rPr>
        <w:tab/>
      </w:r>
    </w:p>
    <w:p w14:paraId="712E9B12">
      <w:pPr>
        <w:pStyle w:val="5"/>
        <w:tabs>
          <w:tab w:val="left" w:pos="9078"/>
          <w:tab w:val="left" w:pos="9188"/>
        </w:tabs>
        <w:spacing w:before="25" w:line="319" w:lineRule="auto"/>
        <w:ind w:left="5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。A-4</w:t>
      </w:r>
      <w:r>
        <w:rPr>
          <w:color w:val="231F20"/>
          <w:spacing w:val="-2"/>
        </w:rPr>
        <w:t xml:space="preserve"> </w:t>
      </w:r>
      <w:r>
        <w:rPr>
          <w:color w:val="231F20"/>
        </w:rPr>
        <w:t>其他（专业技术咨询、外部协调工作等</w:t>
      </w:r>
      <w:r>
        <w:rPr>
          <w:color w:val="231F20"/>
          <w:spacing w:val="-28"/>
        </w:rPr>
        <w:t>）：</w:t>
      </w:r>
      <w:r>
        <w:rPr>
          <w:color w:val="231F20"/>
          <w:spacing w:val="-28"/>
        </w:rPr>
        <w:tab/>
      </w:r>
      <w:r>
        <w:rPr>
          <w:color w:val="231F20"/>
          <w:spacing w:val="-28"/>
        </w:rPr>
        <w:tab/>
      </w:r>
    </w:p>
    <w:p w14:paraId="10EBA799">
      <w:pPr>
        <w:pStyle w:val="5"/>
        <w:tabs>
          <w:tab w:val="left" w:pos="9078"/>
        </w:tabs>
        <w:spacing w:before="25"/>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5A037012">
      <w:pPr>
        <w:spacing w:after="0"/>
        <w:sectPr>
          <w:type w:val="continuous"/>
          <w:pgSz w:w="11910" w:h="16840"/>
          <w:pgMar w:top="1580" w:right="1200" w:bottom="1020" w:left="1300" w:header="720" w:footer="720" w:gutter="0"/>
          <w:cols w:space="720" w:num="1"/>
        </w:sectPr>
      </w:pPr>
    </w:p>
    <w:p w14:paraId="026A6EE0">
      <w:pPr>
        <w:pStyle w:val="5"/>
        <w:spacing w:before="18"/>
        <w:ind w:left="557"/>
        <w:rPr>
          <w:rFonts w:hint="eastAsia" w:ascii="方正黑体_GBK" w:eastAsia="方正黑体_GBK"/>
        </w:rPr>
      </w:pPr>
      <w:r>
        <w:rPr>
          <w:rFonts w:hint="eastAsia" w:ascii="方正黑体_GBK" w:eastAsia="方正黑体_GBK"/>
          <w:color w:val="231F20"/>
          <w:spacing w:val="-3"/>
        </w:rPr>
        <w:t xml:space="preserve">附录 </w:t>
      </w:r>
      <w:r>
        <w:rPr>
          <w:rFonts w:hint="eastAsia" w:ascii="方正黑体_GBK" w:eastAsia="方正黑体_GBK"/>
          <w:color w:val="231F20"/>
        </w:rPr>
        <w:t>B</w:t>
      </w:r>
    </w:p>
    <w:p w14:paraId="4621912E">
      <w:pPr>
        <w:pStyle w:val="5"/>
        <w:spacing w:before="0"/>
        <w:ind w:left="0"/>
        <w:rPr>
          <w:rFonts w:ascii="方正黑体_GBK"/>
          <w:sz w:val="30"/>
        </w:rPr>
      </w:pPr>
      <w:r>
        <w:br w:type="column"/>
      </w:r>
    </w:p>
    <w:p w14:paraId="394EA591">
      <w:pPr>
        <w:pStyle w:val="3"/>
        <w:spacing w:before="1" w:line="276" w:lineRule="auto"/>
        <w:ind w:left="1811" w:right="2050" w:hanging="1254"/>
      </w:pPr>
      <w:r>
        <w:rPr>
          <w:color w:val="231F20"/>
        </w:rPr>
        <w:t>委托人派遣的人员和提供的房屋、资料、设备B-1 委托人派遣的人员</w:t>
      </w:r>
    </w:p>
    <w:p w14:paraId="278FE956">
      <w:pPr>
        <w:spacing w:after="0" w:line="276" w:lineRule="auto"/>
        <w:sectPr>
          <w:pgSz w:w="11910" w:h="16840"/>
          <w:pgMar w:top="1580" w:right="1300" w:bottom="1020" w:left="1300" w:header="0" w:footer="832" w:gutter="0"/>
          <w:cols w:equalWidth="0" w:num="2">
            <w:col w:w="1199" w:space="297"/>
            <w:col w:w="7814"/>
          </w:cols>
        </w:sectPr>
      </w:pPr>
    </w:p>
    <w:p w14:paraId="578FFF91">
      <w:pPr>
        <w:pStyle w:val="5"/>
        <w:spacing w:before="13"/>
        <w:ind w:left="0"/>
        <w:rPr>
          <w:rFonts w:ascii="方正黑体_GBK"/>
          <w:sz w:val="10"/>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70"/>
        <w:gridCol w:w="1872"/>
        <w:gridCol w:w="2253"/>
        <w:gridCol w:w="1967"/>
      </w:tblGrid>
      <w:tr w14:paraId="22321C8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7FDC042C">
            <w:pPr>
              <w:pStyle w:val="10"/>
              <w:spacing w:before="44"/>
              <w:ind w:left="1284" w:right="1275"/>
              <w:jc w:val="center"/>
              <w:rPr>
                <w:sz w:val="18"/>
              </w:rPr>
            </w:pPr>
            <w:r>
              <w:rPr>
                <w:color w:val="231F20"/>
                <w:sz w:val="18"/>
              </w:rPr>
              <w:t>名称</w:t>
            </w:r>
          </w:p>
        </w:tc>
        <w:tc>
          <w:tcPr>
            <w:tcW w:w="1872" w:type="dxa"/>
          </w:tcPr>
          <w:p w14:paraId="700FB75E">
            <w:pPr>
              <w:pStyle w:val="10"/>
              <w:spacing w:before="44"/>
              <w:ind w:left="735" w:right="727"/>
              <w:jc w:val="center"/>
              <w:rPr>
                <w:sz w:val="18"/>
              </w:rPr>
            </w:pPr>
            <w:r>
              <w:rPr>
                <w:color w:val="231F20"/>
                <w:sz w:val="18"/>
              </w:rPr>
              <w:t>数量</w:t>
            </w:r>
          </w:p>
        </w:tc>
        <w:tc>
          <w:tcPr>
            <w:tcW w:w="2253" w:type="dxa"/>
          </w:tcPr>
          <w:p w14:paraId="6FE8CCB3">
            <w:pPr>
              <w:pStyle w:val="10"/>
              <w:spacing w:before="44"/>
              <w:ind w:left="745" w:right="737"/>
              <w:jc w:val="center"/>
              <w:rPr>
                <w:sz w:val="18"/>
              </w:rPr>
            </w:pPr>
            <w:r>
              <w:rPr>
                <w:color w:val="231F20"/>
                <w:sz w:val="18"/>
              </w:rPr>
              <w:t>工作要求</w:t>
            </w:r>
          </w:p>
        </w:tc>
        <w:tc>
          <w:tcPr>
            <w:tcW w:w="1967" w:type="dxa"/>
          </w:tcPr>
          <w:p w14:paraId="0488056B">
            <w:pPr>
              <w:pStyle w:val="10"/>
              <w:spacing w:before="44"/>
              <w:ind w:left="622"/>
              <w:rPr>
                <w:sz w:val="18"/>
              </w:rPr>
            </w:pPr>
            <w:r>
              <w:rPr>
                <w:color w:val="231F20"/>
                <w:sz w:val="18"/>
              </w:rPr>
              <w:t>提供时间</w:t>
            </w:r>
          </w:p>
        </w:tc>
      </w:tr>
      <w:tr w14:paraId="23B7B10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23976263">
            <w:pPr>
              <w:pStyle w:val="10"/>
              <w:spacing w:before="44"/>
              <w:ind w:left="855"/>
              <w:rPr>
                <w:sz w:val="18"/>
              </w:rPr>
            </w:pPr>
            <w:r>
              <w:rPr>
                <w:color w:val="231F20"/>
                <w:sz w:val="18"/>
              </w:rPr>
              <w:t>1. 工程技术人员</w:t>
            </w:r>
          </w:p>
        </w:tc>
        <w:tc>
          <w:tcPr>
            <w:tcW w:w="1872" w:type="dxa"/>
          </w:tcPr>
          <w:p w14:paraId="5C497C5C">
            <w:pPr>
              <w:pStyle w:val="10"/>
              <w:rPr>
                <w:rFonts w:ascii="Times New Roman"/>
                <w:sz w:val="20"/>
              </w:rPr>
            </w:pPr>
          </w:p>
        </w:tc>
        <w:tc>
          <w:tcPr>
            <w:tcW w:w="2253" w:type="dxa"/>
          </w:tcPr>
          <w:p w14:paraId="0FF1AE26">
            <w:pPr>
              <w:pStyle w:val="10"/>
              <w:rPr>
                <w:rFonts w:ascii="Times New Roman"/>
                <w:sz w:val="20"/>
              </w:rPr>
            </w:pPr>
          </w:p>
        </w:tc>
        <w:tc>
          <w:tcPr>
            <w:tcW w:w="1967" w:type="dxa"/>
          </w:tcPr>
          <w:p w14:paraId="0267B637">
            <w:pPr>
              <w:pStyle w:val="10"/>
              <w:rPr>
                <w:rFonts w:ascii="Times New Roman"/>
                <w:sz w:val="20"/>
              </w:rPr>
            </w:pPr>
          </w:p>
        </w:tc>
      </w:tr>
      <w:tr w14:paraId="1ABB57D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6F739B3B">
            <w:pPr>
              <w:pStyle w:val="10"/>
              <w:spacing w:before="44"/>
              <w:ind w:left="855"/>
              <w:rPr>
                <w:sz w:val="18"/>
              </w:rPr>
            </w:pPr>
            <w:r>
              <w:rPr>
                <w:color w:val="231F20"/>
                <w:sz w:val="18"/>
              </w:rPr>
              <w:t>2. 辅助工作人员</w:t>
            </w:r>
          </w:p>
        </w:tc>
        <w:tc>
          <w:tcPr>
            <w:tcW w:w="1872" w:type="dxa"/>
          </w:tcPr>
          <w:p w14:paraId="4CEBA2D4">
            <w:pPr>
              <w:pStyle w:val="10"/>
              <w:rPr>
                <w:rFonts w:ascii="Times New Roman"/>
                <w:sz w:val="20"/>
              </w:rPr>
            </w:pPr>
          </w:p>
        </w:tc>
        <w:tc>
          <w:tcPr>
            <w:tcW w:w="2253" w:type="dxa"/>
          </w:tcPr>
          <w:p w14:paraId="79612D07">
            <w:pPr>
              <w:pStyle w:val="10"/>
              <w:rPr>
                <w:rFonts w:ascii="Times New Roman"/>
                <w:sz w:val="20"/>
              </w:rPr>
            </w:pPr>
          </w:p>
        </w:tc>
        <w:tc>
          <w:tcPr>
            <w:tcW w:w="1967" w:type="dxa"/>
          </w:tcPr>
          <w:p w14:paraId="32C710BE">
            <w:pPr>
              <w:pStyle w:val="10"/>
              <w:rPr>
                <w:rFonts w:ascii="Times New Roman"/>
                <w:sz w:val="20"/>
              </w:rPr>
            </w:pPr>
          </w:p>
        </w:tc>
      </w:tr>
      <w:tr w14:paraId="0B11F6F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77607987">
            <w:pPr>
              <w:pStyle w:val="10"/>
              <w:spacing w:before="44"/>
              <w:ind w:left="1035"/>
              <w:rPr>
                <w:sz w:val="18"/>
              </w:rPr>
            </w:pPr>
            <w:r>
              <w:rPr>
                <w:color w:val="231F20"/>
                <w:sz w:val="18"/>
              </w:rPr>
              <w:t>3. 其他人员</w:t>
            </w:r>
          </w:p>
        </w:tc>
        <w:tc>
          <w:tcPr>
            <w:tcW w:w="1872" w:type="dxa"/>
          </w:tcPr>
          <w:p w14:paraId="56BD1468">
            <w:pPr>
              <w:pStyle w:val="10"/>
              <w:rPr>
                <w:rFonts w:ascii="Times New Roman"/>
                <w:sz w:val="20"/>
              </w:rPr>
            </w:pPr>
          </w:p>
        </w:tc>
        <w:tc>
          <w:tcPr>
            <w:tcW w:w="2253" w:type="dxa"/>
          </w:tcPr>
          <w:p w14:paraId="74484847">
            <w:pPr>
              <w:pStyle w:val="10"/>
              <w:rPr>
                <w:rFonts w:ascii="Times New Roman"/>
                <w:sz w:val="20"/>
              </w:rPr>
            </w:pPr>
          </w:p>
        </w:tc>
        <w:tc>
          <w:tcPr>
            <w:tcW w:w="1967" w:type="dxa"/>
          </w:tcPr>
          <w:p w14:paraId="0195A2A7">
            <w:pPr>
              <w:pStyle w:val="10"/>
              <w:rPr>
                <w:rFonts w:ascii="Times New Roman"/>
                <w:sz w:val="20"/>
              </w:rPr>
            </w:pPr>
          </w:p>
        </w:tc>
      </w:tr>
      <w:tr w14:paraId="16D3A52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4A8B2E01">
            <w:pPr>
              <w:pStyle w:val="10"/>
              <w:rPr>
                <w:rFonts w:ascii="Times New Roman"/>
                <w:sz w:val="20"/>
              </w:rPr>
            </w:pPr>
          </w:p>
        </w:tc>
        <w:tc>
          <w:tcPr>
            <w:tcW w:w="1872" w:type="dxa"/>
          </w:tcPr>
          <w:p w14:paraId="22B54BBD">
            <w:pPr>
              <w:pStyle w:val="10"/>
              <w:rPr>
                <w:rFonts w:ascii="Times New Roman"/>
                <w:sz w:val="20"/>
              </w:rPr>
            </w:pPr>
          </w:p>
        </w:tc>
        <w:tc>
          <w:tcPr>
            <w:tcW w:w="2253" w:type="dxa"/>
          </w:tcPr>
          <w:p w14:paraId="02CEFE9E">
            <w:pPr>
              <w:pStyle w:val="10"/>
              <w:rPr>
                <w:rFonts w:ascii="Times New Roman"/>
                <w:sz w:val="20"/>
              </w:rPr>
            </w:pPr>
          </w:p>
        </w:tc>
        <w:tc>
          <w:tcPr>
            <w:tcW w:w="1967" w:type="dxa"/>
          </w:tcPr>
          <w:p w14:paraId="5DC30FF6">
            <w:pPr>
              <w:pStyle w:val="10"/>
              <w:rPr>
                <w:rFonts w:ascii="Times New Roman"/>
                <w:sz w:val="20"/>
              </w:rPr>
            </w:pPr>
          </w:p>
        </w:tc>
      </w:tr>
    </w:tbl>
    <w:p w14:paraId="6CE16E84">
      <w:pPr>
        <w:pStyle w:val="5"/>
        <w:spacing w:before="0"/>
        <w:ind w:left="0"/>
        <w:rPr>
          <w:rFonts w:ascii="方正黑体_GBK"/>
          <w:sz w:val="20"/>
        </w:rPr>
      </w:pPr>
    </w:p>
    <w:p w14:paraId="5D64A756">
      <w:pPr>
        <w:pStyle w:val="5"/>
        <w:spacing w:before="14"/>
        <w:ind w:left="0"/>
        <w:rPr>
          <w:rFonts w:ascii="方正黑体_GBK"/>
          <w:sz w:val="13"/>
        </w:rPr>
      </w:pPr>
    </w:p>
    <w:p w14:paraId="1928C4DF">
      <w:pPr>
        <w:pStyle w:val="9"/>
        <w:numPr>
          <w:ilvl w:val="1"/>
          <w:numId w:val="21"/>
        </w:numPr>
        <w:tabs>
          <w:tab w:val="left" w:pos="3919"/>
        </w:tabs>
        <w:spacing w:before="10" w:after="0" w:line="240" w:lineRule="auto"/>
        <w:ind w:left="3918" w:right="0" w:hanging="612"/>
        <w:jc w:val="left"/>
        <w:rPr>
          <w:rFonts w:hint="eastAsia" w:ascii="方正黑体_GBK" w:eastAsia="方正黑体_GBK"/>
          <w:sz w:val="26"/>
        </w:rPr>
      </w:pPr>
      <w:r>
        <w:rPr>
          <w:rFonts w:hint="eastAsia" w:ascii="方正黑体_GBK" w:eastAsia="方正黑体_GBK"/>
          <w:color w:val="231F20"/>
          <w:sz w:val="26"/>
        </w:rPr>
        <w:t>委托人提供的房屋</w:t>
      </w:r>
    </w:p>
    <w:p w14:paraId="06EEBEFD">
      <w:pPr>
        <w:pStyle w:val="5"/>
        <w:spacing w:before="13"/>
        <w:ind w:left="0"/>
        <w:rPr>
          <w:rFonts w:ascii="方正黑体_GBK"/>
          <w:sz w:val="13"/>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589"/>
        <w:gridCol w:w="2253"/>
        <w:gridCol w:w="2253"/>
        <w:gridCol w:w="1967"/>
      </w:tblGrid>
      <w:tr w14:paraId="7342008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9D4BF27">
            <w:pPr>
              <w:pStyle w:val="10"/>
              <w:spacing w:before="44"/>
              <w:ind w:left="464" w:right="455"/>
              <w:jc w:val="center"/>
              <w:rPr>
                <w:sz w:val="18"/>
              </w:rPr>
            </w:pPr>
            <w:r>
              <w:rPr>
                <w:color w:val="231F20"/>
                <w:sz w:val="18"/>
              </w:rPr>
              <w:t>名称</w:t>
            </w:r>
          </w:p>
        </w:tc>
        <w:tc>
          <w:tcPr>
            <w:tcW w:w="2253" w:type="dxa"/>
          </w:tcPr>
          <w:p w14:paraId="5F703BCF">
            <w:pPr>
              <w:pStyle w:val="10"/>
              <w:spacing w:before="44"/>
              <w:ind w:left="745" w:right="736"/>
              <w:jc w:val="center"/>
              <w:rPr>
                <w:sz w:val="18"/>
              </w:rPr>
            </w:pPr>
            <w:r>
              <w:rPr>
                <w:color w:val="231F20"/>
                <w:sz w:val="18"/>
              </w:rPr>
              <w:t>数量</w:t>
            </w:r>
          </w:p>
        </w:tc>
        <w:tc>
          <w:tcPr>
            <w:tcW w:w="2253" w:type="dxa"/>
          </w:tcPr>
          <w:p w14:paraId="079023DA">
            <w:pPr>
              <w:pStyle w:val="10"/>
              <w:spacing w:before="44"/>
              <w:ind w:left="745" w:right="737"/>
              <w:jc w:val="center"/>
              <w:rPr>
                <w:sz w:val="18"/>
              </w:rPr>
            </w:pPr>
            <w:r>
              <w:rPr>
                <w:color w:val="231F20"/>
                <w:sz w:val="18"/>
              </w:rPr>
              <w:t>面积</w:t>
            </w:r>
          </w:p>
        </w:tc>
        <w:tc>
          <w:tcPr>
            <w:tcW w:w="1967" w:type="dxa"/>
          </w:tcPr>
          <w:p w14:paraId="16A184E5">
            <w:pPr>
              <w:pStyle w:val="10"/>
              <w:spacing w:before="44"/>
              <w:ind w:left="622"/>
              <w:rPr>
                <w:sz w:val="18"/>
              </w:rPr>
            </w:pPr>
            <w:r>
              <w:rPr>
                <w:color w:val="231F20"/>
                <w:sz w:val="18"/>
              </w:rPr>
              <w:t>提供时间</w:t>
            </w:r>
          </w:p>
        </w:tc>
      </w:tr>
      <w:tr w14:paraId="2340593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88BFC1B">
            <w:pPr>
              <w:pStyle w:val="10"/>
              <w:spacing w:before="44"/>
              <w:ind w:left="845"/>
              <w:rPr>
                <w:sz w:val="18"/>
              </w:rPr>
            </w:pPr>
            <w:r>
              <w:rPr>
                <w:color w:val="231F20"/>
                <w:sz w:val="18"/>
              </w:rPr>
              <w:t>1. 办公用房</w:t>
            </w:r>
          </w:p>
        </w:tc>
        <w:tc>
          <w:tcPr>
            <w:tcW w:w="2253" w:type="dxa"/>
          </w:tcPr>
          <w:p w14:paraId="55FD27A9">
            <w:pPr>
              <w:pStyle w:val="10"/>
              <w:rPr>
                <w:rFonts w:ascii="Times New Roman"/>
                <w:sz w:val="20"/>
              </w:rPr>
            </w:pPr>
          </w:p>
        </w:tc>
        <w:tc>
          <w:tcPr>
            <w:tcW w:w="2253" w:type="dxa"/>
          </w:tcPr>
          <w:p w14:paraId="3433D3E2">
            <w:pPr>
              <w:pStyle w:val="10"/>
              <w:rPr>
                <w:rFonts w:ascii="Times New Roman"/>
                <w:sz w:val="20"/>
              </w:rPr>
            </w:pPr>
          </w:p>
        </w:tc>
        <w:tc>
          <w:tcPr>
            <w:tcW w:w="1967" w:type="dxa"/>
          </w:tcPr>
          <w:p w14:paraId="6BBEFF9E">
            <w:pPr>
              <w:pStyle w:val="10"/>
              <w:rPr>
                <w:rFonts w:ascii="Times New Roman"/>
                <w:sz w:val="20"/>
              </w:rPr>
            </w:pPr>
          </w:p>
        </w:tc>
      </w:tr>
      <w:tr w14:paraId="3A2FFF0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009A193">
            <w:pPr>
              <w:pStyle w:val="10"/>
              <w:spacing w:before="44"/>
              <w:ind w:left="845"/>
              <w:rPr>
                <w:sz w:val="18"/>
              </w:rPr>
            </w:pPr>
            <w:r>
              <w:rPr>
                <w:color w:val="231F20"/>
                <w:sz w:val="18"/>
              </w:rPr>
              <w:t>2. 生活用房</w:t>
            </w:r>
          </w:p>
        </w:tc>
        <w:tc>
          <w:tcPr>
            <w:tcW w:w="2253" w:type="dxa"/>
          </w:tcPr>
          <w:p w14:paraId="471FD5F5">
            <w:pPr>
              <w:pStyle w:val="10"/>
              <w:rPr>
                <w:rFonts w:ascii="Times New Roman"/>
                <w:sz w:val="20"/>
              </w:rPr>
            </w:pPr>
          </w:p>
        </w:tc>
        <w:tc>
          <w:tcPr>
            <w:tcW w:w="2253" w:type="dxa"/>
          </w:tcPr>
          <w:p w14:paraId="78AA3776">
            <w:pPr>
              <w:pStyle w:val="10"/>
              <w:rPr>
                <w:rFonts w:ascii="Times New Roman"/>
                <w:sz w:val="20"/>
              </w:rPr>
            </w:pPr>
          </w:p>
        </w:tc>
        <w:tc>
          <w:tcPr>
            <w:tcW w:w="1967" w:type="dxa"/>
          </w:tcPr>
          <w:p w14:paraId="4F8F3974">
            <w:pPr>
              <w:pStyle w:val="10"/>
              <w:rPr>
                <w:rFonts w:ascii="Times New Roman"/>
                <w:sz w:val="20"/>
              </w:rPr>
            </w:pPr>
          </w:p>
        </w:tc>
      </w:tr>
      <w:tr w14:paraId="5423374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B78946D">
            <w:pPr>
              <w:pStyle w:val="10"/>
              <w:spacing w:before="44"/>
              <w:ind w:left="845"/>
              <w:rPr>
                <w:sz w:val="18"/>
              </w:rPr>
            </w:pPr>
            <w:r>
              <w:rPr>
                <w:color w:val="231F20"/>
                <w:sz w:val="18"/>
              </w:rPr>
              <w:t>3. 试验用房</w:t>
            </w:r>
          </w:p>
        </w:tc>
        <w:tc>
          <w:tcPr>
            <w:tcW w:w="2253" w:type="dxa"/>
          </w:tcPr>
          <w:p w14:paraId="38E13B79">
            <w:pPr>
              <w:pStyle w:val="10"/>
              <w:rPr>
                <w:rFonts w:ascii="Times New Roman"/>
                <w:sz w:val="20"/>
              </w:rPr>
            </w:pPr>
          </w:p>
        </w:tc>
        <w:tc>
          <w:tcPr>
            <w:tcW w:w="2253" w:type="dxa"/>
          </w:tcPr>
          <w:p w14:paraId="0DA24892">
            <w:pPr>
              <w:pStyle w:val="10"/>
              <w:rPr>
                <w:rFonts w:ascii="Times New Roman"/>
                <w:sz w:val="20"/>
              </w:rPr>
            </w:pPr>
          </w:p>
        </w:tc>
        <w:tc>
          <w:tcPr>
            <w:tcW w:w="1967" w:type="dxa"/>
          </w:tcPr>
          <w:p w14:paraId="678C7392">
            <w:pPr>
              <w:pStyle w:val="10"/>
              <w:rPr>
                <w:rFonts w:ascii="Times New Roman"/>
                <w:sz w:val="20"/>
              </w:rPr>
            </w:pPr>
          </w:p>
        </w:tc>
      </w:tr>
      <w:tr w14:paraId="3593C41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63867375">
            <w:pPr>
              <w:pStyle w:val="10"/>
              <w:spacing w:before="44"/>
              <w:ind w:left="845"/>
              <w:rPr>
                <w:sz w:val="18"/>
              </w:rPr>
            </w:pPr>
            <w:r>
              <w:rPr>
                <w:color w:val="231F20"/>
                <w:sz w:val="18"/>
              </w:rPr>
              <w:t>4. 样品用房</w:t>
            </w:r>
          </w:p>
        </w:tc>
        <w:tc>
          <w:tcPr>
            <w:tcW w:w="2253" w:type="dxa"/>
          </w:tcPr>
          <w:p w14:paraId="4B7B1C30">
            <w:pPr>
              <w:pStyle w:val="10"/>
              <w:rPr>
                <w:rFonts w:ascii="Times New Roman"/>
                <w:sz w:val="20"/>
              </w:rPr>
            </w:pPr>
          </w:p>
        </w:tc>
        <w:tc>
          <w:tcPr>
            <w:tcW w:w="2253" w:type="dxa"/>
          </w:tcPr>
          <w:p w14:paraId="0E385D46">
            <w:pPr>
              <w:pStyle w:val="10"/>
              <w:rPr>
                <w:rFonts w:ascii="Times New Roman"/>
                <w:sz w:val="20"/>
              </w:rPr>
            </w:pPr>
          </w:p>
        </w:tc>
        <w:tc>
          <w:tcPr>
            <w:tcW w:w="1967" w:type="dxa"/>
          </w:tcPr>
          <w:p w14:paraId="13E9E9B8">
            <w:pPr>
              <w:pStyle w:val="10"/>
              <w:rPr>
                <w:rFonts w:ascii="Times New Roman"/>
                <w:sz w:val="20"/>
              </w:rPr>
            </w:pPr>
          </w:p>
        </w:tc>
      </w:tr>
      <w:tr w14:paraId="1433ABA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7D009F52">
            <w:pPr>
              <w:pStyle w:val="10"/>
              <w:rPr>
                <w:rFonts w:ascii="Times New Roman"/>
                <w:sz w:val="20"/>
              </w:rPr>
            </w:pPr>
          </w:p>
        </w:tc>
        <w:tc>
          <w:tcPr>
            <w:tcW w:w="2253" w:type="dxa"/>
          </w:tcPr>
          <w:p w14:paraId="2D539F0C">
            <w:pPr>
              <w:pStyle w:val="10"/>
              <w:rPr>
                <w:rFonts w:ascii="Times New Roman"/>
                <w:sz w:val="20"/>
              </w:rPr>
            </w:pPr>
          </w:p>
        </w:tc>
        <w:tc>
          <w:tcPr>
            <w:tcW w:w="2253" w:type="dxa"/>
          </w:tcPr>
          <w:p w14:paraId="0887B004">
            <w:pPr>
              <w:pStyle w:val="10"/>
              <w:rPr>
                <w:rFonts w:ascii="Times New Roman"/>
                <w:sz w:val="20"/>
              </w:rPr>
            </w:pPr>
          </w:p>
        </w:tc>
        <w:tc>
          <w:tcPr>
            <w:tcW w:w="1967" w:type="dxa"/>
          </w:tcPr>
          <w:p w14:paraId="34DE251F">
            <w:pPr>
              <w:pStyle w:val="10"/>
              <w:rPr>
                <w:rFonts w:ascii="Times New Roman"/>
                <w:sz w:val="20"/>
              </w:rPr>
            </w:pPr>
          </w:p>
        </w:tc>
      </w:tr>
      <w:tr w14:paraId="045FEB2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5184C236">
            <w:pPr>
              <w:pStyle w:val="10"/>
              <w:spacing w:before="44"/>
              <w:ind w:left="464" w:right="455"/>
              <w:jc w:val="center"/>
              <w:rPr>
                <w:sz w:val="18"/>
              </w:rPr>
            </w:pPr>
            <w:r>
              <w:rPr>
                <w:color w:val="231F20"/>
                <w:sz w:val="18"/>
              </w:rPr>
              <w:t>用餐及其他生活条件</w:t>
            </w:r>
          </w:p>
        </w:tc>
        <w:tc>
          <w:tcPr>
            <w:tcW w:w="6473" w:type="dxa"/>
            <w:gridSpan w:val="3"/>
          </w:tcPr>
          <w:p w14:paraId="0033C39C">
            <w:pPr>
              <w:pStyle w:val="10"/>
              <w:rPr>
                <w:rFonts w:ascii="Times New Roman"/>
                <w:sz w:val="20"/>
              </w:rPr>
            </w:pPr>
          </w:p>
        </w:tc>
      </w:tr>
    </w:tbl>
    <w:p w14:paraId="029F7C7C">
      <w:pPr>
        <w:pStyle w:val="5"/>
        <w:spacing w:before="9"/>
        <w:ind w:left="0"/>
        <w:rPr>
          <w:rFonts w:ascii="方正黑体_GBK"/>
          <w:sz w:val="34"/>
        </w:rPr>
      </w:pPr>
    </w:p>
    <w:p w14:paraId="3D64BC27">
      <w:pPr>
        <w:pStyle w:val="9"/>
        <w:numPr>
          <w:ilvl w:val="1"/>
          <w:numId w:val="21"/>
        </w:numPr>
        <w:tabs>
          <w:tab w:val="left" w:pos="3919"/>
        </w:tabs>
        <w:spacing w:before="0" w:after="0" w:line="240" w:lineRule="auto"/>
        <w:ind w:left="3918" w:right="0" w:hanging="612"/>
        <w:jc w:val="left"/>
        <w:rPr>
          <w:rFonts w:hint="eastAsia" w:ascii="方正黑体_GBK" w:eastAsia="方正黑体_GBK"/>
          <w:sz w:val="26"/>
        </w:rPr>
      </w:pPr>
      <w:r>
        <w:rPr>
          <w:rFonts w:hint="eastAsia" w:ascii="方正黑体_GBK" w:eastAsia="方正黑体_GBK"/>
          <w:color w:val="231F20"/>
          <w:sz w:val="26"/>
        </w:rPr>
        <w:t>委托人提供的资料</w:t>
      </w:r>
    </w:p>
    <w:p w14:paraId="60CDACFC">
      <w:pPr>
        <w:pStyle w:val="5"/>
        <w:spacing w:before="12" w:after="1"/>
        <w:ind w:left="0"/>
        <w:rPr>
          <w:rFonts w:ascii="方正黑体_GBK"/>
          <w:sz w:val="13"/>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80"/>
        <w:gridCol w:w="1586"/>
        <w:gridCol w:w="2284"/>
        <w:gridCol w:w="2215"/>
      </w:tblGrid>
      <w:tr w14:paraId="5B4BD0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6BA59678">
            <w:pPr>
              <w:pStyle w:val="10"/>
              <w:spacing w:before="44"/>
              <w:ind w:left="1289" w:right="1281"/>
              <w:jc w:val="center"/>
              <w:rPr>
                <w:sz w:val="18"/>
              </w:rPr>
            </w:pPr>
            <w:r>
              <w:rPr>
                <w:color w:val="231F20"/>
                <w:sz w:val="18"/>
              </w:rPr>
              <w:t>名称</w:t>
            </w:r>
          </w:p>
        </w:tc>
        <w:tc>
          <w:tcPr>
            <w:tcW w:w="1586" w:type="dxa"/>
          </w:tcPr>
          <w:p w14:paraId="51F8FE3A">
            <w:pPr>
              <w:pStyle w:val="10"/>
              <w:spacing w:before="44"/>
              <w:ind w:left="591" w:right="584"/>
              <w:jc w:val="center"/>
              <w:rPr>
                <w:sz w:val="18"/>
              </w:rPr>
            </w:pPr>
            <w:r>
              <w:rPr>
                <w:color w:val="231F20"/>
                <w:sz w:val="18"/>
              </w:rPr>
              <w:t>份数</w:t>
            </w:r>
          </w:p>
        </w:tc>
        <w:tc>
          <w:tcPr>
            <w:tcW w:w="2284" w:type="dxa"/>
          </w:tcPr>
          <w:p w14:paraId="0DBCEE8E">
            <w:pPr>
              <w:pStyle w:val="10"/>
              <w:spacing w:before="44"/>
              <w:ind w:left="760" w:right="754"/>
              <w:jc w:val="center"/>
              <w:rPr>
                <w:sz w:val="18"/>
              </w:rPr>
            </w:pPr>
            <w:r>
              <w:rPr>
                <w:color w:val="231F20"/>
                <w:sz w:val="18"/>
              </w:rPr>
              <w:t>提供时间</w:t>
            </w:r>
          </w:p>
        </w:tc>
        <w:tc>
          <w:tcPr>
            <w:tcW w:w="2215" w:type="dxa"/>
          </w:tcPr>
          <w:p w14:paraId="70CB05AB">
            <w:pPr>
              <w:pStyle w:val="10"/>
              <w:spacing w:before="44"/>
              <w:ind w:left="904" w:right="900"/>
              <w:jc w:val="center"/>
              <w:rPr>
                <w:sz w:val="18"/>
              </w:rPr>
            </w:pPr>
            <w:r>
              <w:rPr>
                <w:color w:val="231F20"/>
                <w:sz w:val="18"/>
              </w:rPr>
              <w:t>备注</w:t>
            </w:r>
          </w:p>
        </w:tc>
      </w:tr>
      <w:tr w14:paraId="6F5F7A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6CC91393">
            <w:pPr>
              <w:pStyle w:val="10"/>
              <w:spacing w:before="44"/>
              <w:ind w:left="860"/>
              <w:rPr>
                <w:sz w:val="18"/>
              </w:rPr>
            </w:pPr>
            <w:r>
              <w:rPr>
                <w:color w:val="231F20"/>
                <w:sz w:val="18"/>
              </w:rPr>
              <w:t>1. 工程立项文件</w:t>
            </w:r>
          </w:p>
        </w:tc>
        <w:tc>
          <w:tcPr>
            <w:tcW w:w="1586" w:type="dxa"/>
          </w:tcPr>
          <w:p w14:paraId="46FF5E3C">
            <w:pPr>
              <w:pStyle w:val="10"/>
              <w:rPr>
                <w:rFonts w:ascii="Times New Roman"/>
                <w:sz w:val="20"/>
              </w:rPr>
            </w:pPr>
          </w:p>
        </w:tc>
        <w:tc>
          <w:tcPr>
            <w:tcW w:w="2284" w:type="dxa"/>
          </w:tcPr>
          <w:p w14:paraId="15730D45">
            <w:pPr>
              <w:pStyle w:val="10"/>
              <w:rPr>
                <w:rFonts w:ascii="Times New Roman"/>
                <w:sz w:val="20"/>
              </w:rPr>
            </w:pPr>
          </w:p>
        </w:tc>
        <w:tc>
          <w:tcPr>
            <w:tcW w:w="2215" w:type="dxa"/>
          </w:tcPr>
          <w:p w14:paraId="2D1BD193">
            <w:pPr>
              <w:pStyle w:val="10"/>
              <w:rPr>
                <w:rFonts w:ascii="Times New Roman"/>
                <w:sz w:val="20"/>
              </w:rPr>
            </w:pPr>
          </w:p>
        </w:tc>
      </w:tr>
      <w:tr w14:paraId="7121B8E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13680421">
            <w:pPr>
              <w:pStyle w:val="10"/>
              <w:spacing w:before="44"/>
              <w:ind w:left="860"/>
              <w:rPr>
                <w:sz w:val="18"/>
              </w:rPr>
            </w:pPr>
            <w:r>
              <w:rPr>
                <w:color w:val="231F20"/>
                <w:sz w:val="18"/>
              </w:rPr>
              <w:t>2. 工程勘察文件</w:t>
            </w:r>
          </w:p>
        </w:tc>
        <w:tc>
          <w:tcPr>
            <w:tcW w:w="1586" w:type="dxa"/>
          </w:tcPr>
          <w:p w14:paraId="5FD2AF5E">
            <w:pPr>
              <w:pStyle w:val="10"/>
              <w:rPr>
                <w:rFonts w:ascii="Times New Roman"/>
                <w:sz w:val="20"/>
              </w:rPr>
            </w:pPr>
          </w:p>
        </w:tc>
        <w:tc>
          <w:tcPr>
            <w:tcW w:w="2284" w:type="dxa"/>
          </w:tcPr>
          <w:p w14:paraId="691F2F9E">
            <w:pPr>
              <w:pStyle w:val="10"/>
              <w:rPr>
                <w:rFonts w:ascii="Times New Roman"/>
                <w:sz w:val="20"/>
              </w:rPr>
            </w:pPr>
          </w:p>
        </w:tc>
        <w:tc>
          <w:tcPr>
            <w:tcW w:w="2215" w:type="dxa"/>
          </w:tcPr>
          <w:p w14:paraId="1680C5BE">
            <w:pPr>
              <w:pStyle w:val="10"/>
              <w:rPr>
                <w:rFonts w:ascii="Times New Roman"/>
                <w:sz w:val="20"/>
              </w:rPr>
            </w:pPr>
          </w:p>
        </w:tc>
      </w:tr>
      <w:tr w14:paraId="7992FC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536BF1C">
            <w:pPr>
              <w:pStyle w:val="10"/>
              <w:spacing w:before="44"/>
              <w:ind w:left="590"/>
              <w:rPr>
                <w:sz w:val="18"/>
              </w:rPr>
            </w:pPr>
            <w:r>
              <w:rPr>
                <w:color w:val="231F20"/>
                <w:sz w:val="18"/>
              </w:rPr>
              <w:t>3. 工程设计及施工图纸</w:t>
            </w:r>
          </w:p>
        </w:tc>
        <w:tc>
          <w:tcPr>
            <w:tcW w:w="1586" w:type="dxa"/>
          </w:tcPr>
          <w:p w14:paraId="425BC944">
            <w:pPr>
              <w:pStyle w:val="10"/>
              <w:rPr>
                <w:rFonts w:ascii="Times New Roman"/>
                <w:sz w:val="20"/>
              </w:rPr>
            </w:pPr>
          </w:p>
        </w:tc>
        <w:tc>
          <w:tcPr>
            <w:tcW w:w="2284" w:type="dxa"/>
          </w:tcPr>
          <w:p w14:paraId="1F4F8F5E">
            <w:pPr>
              <w:pStyle w:val="10"/>
              <w:rPr>
                <w:rFonts w:ascii="Times New Roman"/>
                <w:sz w:val="20"/>
              </w:rPr>
            </w:pPr>
          </w:p>
        </w:tc>
        <w:tc>
          <w:tcPr>
            <w:tcW w:w="2215" w:type="dxa"/>
          </w:tcPr>
          <w:p w14:paraId="10B6BBAE">
            <w:pPr>
              <w:pStyle w:val="10"/>
              <w:rPr>
                <w:rFonts w:ascii="Times New Roman"/>
                <w:sz w:val="20"/>
              </w:rPr>
            </w:pPr>
          </w:p>
        </w:tc>
      </w:tr>
      <w:tr w14:paraId="01B845F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4CF05AF1">
            <w:pPr>
              <w:pStyle w:val="10"/>
              <w:spacing w:before="44"/>
              <w:ind w:left="230"/>
              <w:rPr>
                <w:sz w:val="18"/>
              </w:rPr>
            </w:pPr>
            <w:r>
              <w:rPr>
                <w:color w:val="231F20"/>
                <w:sz w:val="18"/>
              </w:rPr>
              <w:t>4. 工程承包合同及其他相关合同</w:t>
            </w:r>
          </w:p>
        </w:tc>
        <w:tc>
          <w:tcPr>
            <w:tcW w:w="1586" w:type="dxa"/>
          </w:tcPr>
          <w:p w14:paraId="377A4B72">
            <w:pPr>
              <w:pStyle w:val="10"/>
              <w:rPr>
                <w:rFonts w:ascii="Times New Roman"/>
                <w:sz w:val="20"/>
              </w:rPr>
            </w:pPr>
          </w:p>
        </w:tc>
        <w:tc>
          <w:tcPr>
            <w:tcW w:w="2284" w:type="dxa"/>
          </w:tcPr>
          <w:p w14:paraId="6FFEAE90">
            <w:pPr>
              <w:pStyle w:val="10"/>
              <w:rPr>
                <w:rFonts w:ascii="Times New Roman"/>
                <w:sz w:val="20"/>
              </w:rPr>
            </w:pPr>
          </w:p>
        </w:tc>
        <w:tc>
          <w:tcPr>
            <w:tcW w:w="2215" w:type="dxa"/>
          </w:tcPr>
          <w:p w14:paraId="4477161B">
            <w:pPr>
              <w:pStyle w:val="10"/>
              <w:rPr>
                <w:rFonts w:ascii="Times New Roman"/>
                <w:sz w:val="20"/>
              </w:rPr>
            </w:pPr>
          </w:p>
        </w:tc>
      </w:tr>
      <w:tr w14:paraId="053F010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FF85322">
            <w:pPr>
              <w:pStyle w:val="10"/>
              <w:spacing w:before="44"/>
              <w:ind w:left="860"/>
              <w:rPr>
                <w:sz w:val="18"/>
              </w:rPr>
            </w:pPr>
            <w:r>
              <w:rPr>
                <w:color w:val="231F20"/>
                <w:sz w:val="18"/>
              </w:rPr>
              <w:t>5. 施工许可文件</w:t>
            </w:r>
          </w:p>
        </w:tc>
        <w:tc>
          <w:tcPr>
            <w:tcW w:w="1586" w:type="dxa"/>
          </w:tcPr>
          <w:p w14:paraId="564AEFC0">
            <w:pPr>
              <w:pStyle w:val="10"/>
              <w:rPr>
                <w:rFonts w:ascii="Times New Roman"/>
                <w:sz w:val="20"/>
              </w:rPr>
            </w:pPr>
          </w:p>
        </w:tc>
        <w:tc>
          <w:tcPr>
            <w:tcW w:w="2284" w:type="dxa"/>
          </w:tcPr>
          <w:p w14:paraId="60B702C8">
            <w:pPr>
              <w:pStyle w:val="10"/>
              <w:rPr>
                <w:rFonts w:ascii="Times New Roman"/>
                <w:sz w:val="20"/>
              </w:rPr>
            </w:pPr>
          </w:p>
        </w:tc>
        <w:tc>
          <w:tcPr>
            <w:tcW w:w="2215" w:type="dxa"/>
          </w:tcPr>
          <w:p w14:paraId="335F09AE">
            <w:pPr>
              <w:pStyle w:val="10"/>
              <w:rPr>
                <w:rFonts w:ascii="Times New Roman"/>
                <w:sz w:val="20"/>
              </w:rPr>
            </w:pPr>
          </w:p>
        </w:tc>
      </w:tr>
      <w:tr w14:paraId="5F7E52C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202904C1">
            <w:pPr>
              <w:pStyle w:val="10"/>
              <w:spacing w:before="44"/>
              <w:ind w:left="1040"/>
              <w:rPr>
                <w:sz w:val="18"/>
              </w:rPr>
            </w:pPr>
            <w:r>
              <w:rPr>
                <w:color w:val="231F20"/>
                <w:sz w:val="18"/>
              </w:rPr>
              <w:t>6. 其他文件</w:t>
            </w:r>
          </w:p>
        </w:tc>
        <w:tc>
          <w:tcPr>
            <w:tcW w:w="1586" w:type="dxa"/>
          </w:tcPr>
          <w:p w14:paraId="2A2809EA">
            <w:pPr>
              <w:pStyle w:val="10"/>
              <w:rPr>
                <w:rFonts w:ascii="Times New Roman"/>
                <w:sz w:val="20"/>
              </w:rPr>
            </w:pPr>
          </w:p>
        </w:tc>
        <w:tc>
          <w:tcPr>
            <w:tcW w:w="2284" w:type="dxa"/>
          </w:tcPr>
          <w:p w14:paraId="084CE863">
            <w:pPr>
              <w:pStyle w:val="10"/>
              <w:rPr>
                <w:rFonts w:ascii="Times New Roman"/>
                <w:sz w:val="20"/>
              </w:rPr>
            </w:pPr>
          </w:p>
        </w:tc>
        <w:tc>
          <w:tcPr>
            <w:tcW w:w="2215" w:type="dxa"/>
          </w:tcPr>
          <w:p w14:paraId="58538746">
            <w:pPr>
              <w:pStyle w:val="10"/>
              <w:rPr>
                <w:rFonts w:ascii="Times New Roman"/>
                <w:sz w:val="20"/>
              </w:rPr>
            </w:pPr>
          </w:p>
        </w:tc>
      </w:tr>
      <w:tr w14:paraId="2D58C6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05734626">
            <w:pPr>
              <w:pStyle w:val="10"/>
              <w:rPr>
                <w:rFonts w:ascii="Times New Roman"/>
                <w:sz w:val="20"/>
              </w:rPr>
            </w:pPr>
          </w:p>
        </w:tc>
        <w:tc>
          <w:tcPr>
            <w:tcW w:w="1586" w:type="dxa"/>
          </w:tcPr>
          <w:p w14:paraId="4CDEE6A6">
            <w:pPr>
              <w:pStyle w:val="10"/>
              <w:rPr>
                <w:rFonts w:ascii="Times New Roman"/>
                <w:sz w:val="20"/>
              </w:rPr>
            </w:pPr>
          </w:p>
        </w:tc>
        <w:tc>
          <w:tcPr>
            <w:tcW w:w="2284" w:type="dxa"/>
          </w:tcPr>
          <w:p w14:paraId="662F77A1">
            <w:pPr>
              <w:pStyle w:val="10"/>
              <w:rPr>
                <w:rFonts w:ascii="Times New Roman"/>
                <w:sz w:val="20"/>
              </w:rPr>
            </w:pPr>
          </w:p>
        </w:tc>
        <w:tc>
          <w:tcPr>
            <w:tcW w:w="2215" w:type="dxa"/>
          </w:tcPr>
          <w:p w14:paraId="4012F3D8">
            <w:pPr>
              <w:pStyle w:val="10"/>
              <w:rPr>
                <w:rFonts w:ascii="Times New Roman"/>
                <w:sz w:val="20"/>
              </w:rPr>
            </w:pPr>
          </w:p>
        </w:tc>
      </w:tr>
    </w:tbl>
    <w:p w14:paraId="481FA0B9">
      <w:pPr>
        <w:spacing w:after="0"/>
        <w:rPr>
          <w:rFonts w:ascii="Times New Roman"/>
          <w:sz w:val="20"/>
        </w:rPr>
        <w:sectPr>
          <w:type w:val="continuous"/>
          <w:pgSz w:w="11910" w:h="16840"/>
          <w:pgMar w:top="1580" w:right="1300" w:bottom="1020" w:left="1300" w:header="720" w:footer="720" w:gutter="0"/>
          <w:cols w:space="720" w:num="1"/>
        </w:sectPr>
      </w:pPr>
    </w:p>
    <w:p w14:paraId="3C64FDDF">
      <w:pPr>
        <w:pStyle w:val="5"/>
        <w:spacing w:before="5"/>
        <w:ind w:left="0"/>
        <w:rPr>
          <w:rFonts w:ascii="方正黑体_GBK"/>
          <w:sz w:val="29"/>
        </w:rPr>
      </w:pPr>
    </w:p>
    <w:p w14:paraId="2939DE19">
      <w:pPr>
        <w:pStyle w:val="3"/>
        <w:numPr>
          <w:ilvl w:val="1"/>
          <w:numId w:val="21"/>
        </w:numPr>
        <w:tabs>
          <w:tab w:val="left" w:pos="3883"/>
        </w:tabs>
        <w:spacing w:before="10" w:after="0" w:line="240" w:lineRule="auto"/>
        <w:ind w:left="3882" w:right="0" w:hanging="540"/>
        <w:jc w:val="left"/>
      </w:pPr>
      <w:r>
        <w:rPr>
          <w:color w:val="231F20"/>
        </w:rPr>
        <w:t>委托人提供的设备</w:t>
      </w:r>
    </w:p>
    <w:p w14:paraId="7C1B2C5D">
      <w:pPr>
        <w:pStyle w:val="5"/>
        <w:spacing w:before="12"/>
        <w:ind w:left="0"/>
        <w:rPr>
          <w:rFonts w:ascii="方正黑体_GBK"/>
          <w:sz w:val="13"/>
        </w:rPr>
      </w:pPr>
    </w:p>
    <w:tbl>
      <w:tblPr>
        <w:tblStyle w:val="6"/>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160"/>
        <w:gridCol w:w="1682"/>
        <w:gridCol w:w="2253"/>
        <w:gridCol w:w="1967"/>
      </w:tblGrid>
      <w:tr w14:paraId="5B544D2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1D8576FB">
            <w:pPr>
              <w:pStyle w:val="10"/>
              <w:spacing w:before="44"/>
              <w:ind w:left="1379" w:right="1370"/>
              <w:jc w:val="center"/>
              <w:rPr>
                <w:sz w:val="18"/>
              </w:rPr>
            </w:pPr>
            <w:r>
              <w:rPr>
                <w:color w:val="231F20"/>
                <w:sz w:val="18"/>
              </w:rPr>
              <w:t>名称</w:t>
            </w:r>
          </w:p>
        </w:tc>
        <w:tc>
          <w:tcPr>
            <w:tcW w:w="1682" w:type="dxa"/>
          </w:tcPr>
          <w:p w14:paraId="35291233">
            <w:pPr>
              <w:pStyle w:val="10"/>
              <w:spacing w:before="44"/>
              <w:ind w:left="640" w:right="631"/>
              <w:jc w:val="center"/>
              <w:rPr>
                <w:sz w:val="18"/>
              </w:rPr>
            </w:pPr>
            <w:r>
              <w:rPr>
                <w:color w:val="231F20"/>
                <w:sz w:val="18"/>
              </w:rPr>
              <w:t>数量</w:t>
            </w:r>
          </w:p>
        </w:tc>
        <w:tc>
          <w:tcPr>
            <w:tcW w:w="2253" w:type="dxa"/>
          </w:tcPr>
          <w:p w14:paraId="24D2FD79">
            <w:pPr>
              <w:pStyle w:val="10"/>
              <w:spacing w:before="44"/>
              <w:ind w:left="675"/>
              <w:rPr>
                <w:sz w:val="18"/>
              </w:rPr>
            </w:pPr>
            <w:r>
              <w:rPr>
                <w:color w:val="231F20"/>
                <w:sz w:val="18"/>
              </w:rPr>
              <w:t>型号与规格</w:t>
            </w:r>
          </w:p>
        </w:tc>
        <w:tc>
          <w:tcPr>
            <w:tcW w:w="1967" w:type="dxa"/>
          </w:tcPr>
          <w:p w14:paraId="540FBF93">
            <w:pPr>
              <w:pStyle w:val="10"/>
              <w:spacing w:before="44"/>
              <w:ind w:left="622"/>
              <w:rPr>
                <w:sz w:val="18"/>
              </w:rPr>
            </w:pPr>
            <w:r>
              <w:rPr>
                <w:color w:val="231F20"/>
                <w:sz w:val="18"/>
              </w:rPr>
              <w:t>提供时间</w:t>
            </w:r>
          </w:p>
        </w:tc>
      </w:tr>
      <w:tr w14:paraId="44519D7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3009699C">
            <w:pPr>
              <w:pStyle w:val="10"/>
              <w:spacing w:before="44"/>
              <w:ind w:left="1130"/>
              <w:rPr>
                <w:sz w:val="18"/>
              </w:rPr>
            </w:pPr>
            <w:r>
              <w:rPr>
                <w:color w:val="231F20"/>
                <w:sz w:val="18"/>
              </w:rPr>
              <w:t>1. 通讯设备</w:t>
            </w:r>
          </w:p>
        </w:tc>
        <w:tc>
          <w:tcPr>
            <w:tcW w:w="1682" w:type="dxa"/>
          </w:tcPr>
          <w:p w14:paraId="451FE6CD">
            <w:pPr>
              <w:pStyle w:val="10"/>
              <w:rPr>
                <w:rFonts w:ascii="Times New Roman"/>
                <w:sz w:val="18"/>
              </w:rPr>
            </w:pPr>
          </w:p>
        </w:tc>
        <w:tc>
          <w:tcPr>
            <w:tcW w:w="2253" w:type="dxa"/>
          </w:tcPr>
          <w:p w14:paraId="437E931E">
            <w:pPr>
              <w:pStyle w:val="10"/>
              <w:rPr>
                <w:rFonts w:ascii="Times New Roman"/>
                <w:sz w:val="18"/>
              </w:rPr>
            </w:pPr>
          </w:p>
        </w:tc>
        <w:tc>
          <w:tcPr>
            <w:tcW w:w="1967" w:type="dxa"/>
          </w:tcPr>
          <w:p w14:paraId="01758786">
            <w:pPr>
              <w:pStyle w:val="10"/>
              <w:rPr>
                <w:rFonts w:ascii="Times New Roman"/>
                <w:sz w:val="18"/>
              </w:rPr>
            </w:pPr>
          </w:p>
        </w:tc>
      </w:tr>
      <w:tr w14:paraId="484BBD8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38C3CC3B">
            <w:pPr>
              <w:pStyle w:val="10"/>
              <w:spacing w:before="44"/>
              <w:ind w:left="1130"/>
              <w:rPr>
                <w:sz w:val="18"/>
              </w:rPr>
            </w:pPr>
            <w:r>
              <w:rPr>
                <w:color w:val="231F20"/>
                <w:sz w:val="18"/>
              </w:rPr>
              <w:t>2. 办公设备</w:t>
            </w:r>
          </w:p>
        </w:tc>
        <w:tc>
          <w:tcPr>
            <w:tcW w:w="1682" w:type="dxa"/>
          </w:tcPr>
          <w:p w14:paraId="6BAC1787">
            <w:pPr>
              <w:pStyle w:val="10"/>
              <w:rPr>
                <w:rFonts w:ascii="Times New Roman"/>
                <w:sz w:val="18"/>
              </w:rPr>
            </w:pPr>
          </w:p>
        </w:tc>
        <w:tc>
          <w:tcPr>
            <w:tcW w:w="2253" w:type="dxa"/>
          </w:tcPr>
          <w:p w14:paraId="19431B95">
            <w:pPr>
              <w:pStyle w:val="10"/>
              <w:rPr>
                <w:rFonts w:ascii="Times New Roman"/>
                <w:sz w:val="18"/>
              </w:rPr>
            </w:pPr>
          </w:p>
        </w:tc>
        <w:tc>
          <w:tcPr>
            <w:tcW w:w="1967" w:type="dxa"/>
          </w:tcPr>
          <w:p w14:paraId="6D5F4893">
            <w:pPr>
              <w:pStyle w:val="10"/>
              <w:rPr>
                <w:rFonts w:ascii="Times New Roman"/>
                <w:sz w:val="18"/>
              </w:rPr>
            </w:pPr>
          </w:p>
        </w:tc>
      </w:tr>
      <w:tr w14:paraId="0334C44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1BE98232">
            <w:pPr>
              <w:pStyle w:val="10"/>
              <w:spacing w:before="44"/>
              <w:ind w:left="1130"/>
              <w:rPr>
                <w:sz w:val="18"/>
              </w:rPr>
            </w:pPr>
            <w:r>
              <w:rPr>
                <w:color w:val="231F20"/>
                <w:sz w:val="18"/>
              </w:rPr>
              <w:t>3. 交通工具</w:t>
            </w:r>
          </w:p>
        </w:tc>
        <w:tc>
          <w:tcPr>
            <w:tcW w:w="1682" w:type="dxa"/>
          </w:tcPr>
          <w:p w14:paraId="58CC9148">
            <w:pPr>
              <w:pStyle w:val="10"/>
              <w:rPr>
                <w:rFonts w:ascii="Times New Roman"/>
                <w:sz w:val="18"/>
              </w:rPr>
            </w:pPr>
          </w:p>
        </w:tc>
        <w:tc>
          <w:tcPr>
            <w:tcW w:w="2253" w:type="dxa"/>
          </w:tcPr>
          <w:p w14:paraId="6D2B66F9">
            <w:pPr>
              <w:pStyle w:val="10"/>
              <w:rPr>
                <w:rFonts w:ascii="Times New Roman"/>
                <w:sz w:val="18"/>
              </w:rPr>
            </w:pPr>
          </w:p>
        </w:tc>
        <w:tc>
          <w:tcPr>
            <w:tcW w:w="1967" w:type="dxa"/>
          </w:tcPr>
          <w:p w14:paraId="27B72EA5">
            <w:pPr>
              <w:pStyle w:val="10"/>
              <w:rPr>
                <w:rFonts w:ascii="Times New Roman"/>
                <w:sz w:val="18"/>
              </w:rPr>
            </w:pPr>
          </w:p>
        </w:tc>
      </w:tr>
      <w:tr w14:paraId="0CCAB7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47A5CA35">
            <w:pPr>
              <w:pStyle w:val="10"/>
              <w:spacing w:before="44"/>
              <w:ind w:left="860"/>
              <w:rPr>
                <w:sz w:val="18"/>
              </w:rPr>
            </w:pPr>
            <w:r>
              <w:rPr>
                <w:color w:val="231F20"/>
                <w:sz w:val="18"/>
              </w:rPr>
              <w:t>4. 检测和试验设备</w:t>
            </w:r>
          </w:p>
        </w:tc>
        <w:tc>
          <w:tcPr>
            <w:tcW w:w="1682" w:type="dxa"/>
          </w:tcPr>
          <w:p w14:paraId="32E0C8BE">
            <w:pPr>
              <w:pStyle w:val="10"/>
              <w:rPr>
                <w:rFonts w:ascii="Times New Roman"/>
                <w:sz w:val="18"/>
              </w:rPr>
            </w:pPr>
          </w:p>
        </w:tc>
        <w:tc>
          <w:tcPr>
            <w:tcW w:w="2253" w:type="dxa"/>
          </w:tcPr>
          <w:p w14:paraId="3BC8A1F9">
            <w:pPr>
              <w:pStyle w:val="10"/>
              <w:rPr>
                <w:rFonts w:ascii="Times New Roman"/>
                <w:sz w:val="18"/>
              </w:rPr>
            </w:pPr>
          </w:p>
        </w:tc>
        <w:tc>
          <w:tcPr>
            <w:tcW w:w="1967" w:type="dxa"/>
          </w:tcPr>
          <w:p w14:paraId="42A4A810">
            <w:pPr>
              <w:pStyle w:val="10"/>
              <w:rPr>
                <w:rFonts w:ascii="Times New Roman"/>
                <w:sz w:val="18"/>
              </w:rPr>
            </w:pPr>
          </w:p>
        </w:tc>
      </w:tr>
      <w:tr w14:paraId="7A72362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4C632E7C">
            <w:pPr>
              <w:pStyle w:val="10"/>
              <w:rPr>
                <w:rFonts w:ascii="Times New Roman"/>
                <w:sz w:val="18"/>
              </w:rPr>
            </w:pPr>
          </w:p>
        </w:tc>
        <w:tc>
          <w:tcPr>
            <w:tcW w:w="1682" w:type="dxa"/>
          </w:tcPr>
          <w:p w14:paraId="519C67FD">
            <w:pPr>
              <w:pStyle w:val="10"/>
              <w:rPr>
                <w:rFonts w:ascii="Times New Roman"/>
                <w:sz w:val="18"/>
              </w:rPr>
            </w:pPr>
          </w:p>
        </w:tc>
        <w:tc>
          <w:tcPr>
            <w:tcW w:w="2253" w:type="dxa"/>
          </w:tcPr>
          <w:p w14:paraId="3764BB31">
            <w:pPr>
              <w:pStyle w:val="10"/>
              <w:rPr>
                <w:rFonts w:ascii="Times New Roman"/>
                <w:sz w:val="18"/>
              </w:rPr>
            </w:pPr>
          </w:p>
        </w:tc>
        <w:tc>
          <w:tcPr>
            <w:tcW w:w="1967" w:type="dxa"/>
          </w:tcPr>
          <w:p w14:paraId="3C28E1E5">
            <w:pPr>
              <w:pStyle w:val="10"/>
              <w:rPr>
                <w:rFonts w:ascii="Times New Roman"/>
                <w:sz w:val="18"/>
              </w:rPr>
            </w:pPr>
          </w:p>
        </w:tc>
      </w:tr>
    </w:tbl>
    <w:p w14:paraId="5DAA5F8B"/>
    <w:sectPr>
      <w:footerReference r:id="rId9"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黑体">
    <w:altName w:val="黑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6436">
    <w:pPr>
      <w:pStyle w:val="5"/>
      <w:spacing w:before="0" w:line="14" w:lineRule="auto"/>
      <w:ind w:left="0"/>
      <w:rPr>
        <w:sz w:val="20"/>
      </w:rPr>
    </w:pPr>
    <w:r>
      <w:pict>
        <v:shape id="_x0000_s2049" o:spid="_x0000_s2049" o:spt="202" type="#_x0000_t202" style="position:absolute;left:0pt;margin-left:512.4pt;margin-top:789.25pt;height:13.1pt;width:1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01766BA2">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AACE">
    <w:pPr>
      <w:pStyle w:val="5"/>
      <w:spacing w:before="0" w:line="14" w:lineRule="auto"/>
      <w:ind w:left="0"/>
      <w:rPr>
        <w:sz w:val="20"/>
      </w:rPr>
    </w:pPr>
    <w:r>
      <w:pict>
        <v:shape id="_x0000_s2050" o:spid="_x0000_s2050" o:spt="202" type="#_x0000_t202" style="position:absolute;left:0pt;margin-left:68.85pt;margin-top:789.25pt;height:13.1pt;width: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750BD75">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4F5">
    <w:pPr>
      <w:pStyle w:val="5"/>
      <w:spacing w:before="0" w:line="14" w:lineRule="auto"/>
      <w:ind w:left="0"/>
      <w:rPr>
        <w:sz w:val="20"/>
      </w:rPr>
    </w:pPr>
    <w:r>
      <w:pict>
        <v:shape id="_x0000_s2054" o:spid="_x0000_s2054" o:spt="202" type="#_x0000_t202" style="position:absolute;left:0pt;margin-left:512.4pt;margin-top:789.25pt;height:13.1pt;width:1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4D5A39B">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8C8D6">
    <w:pPr>
      <w:pStyle w:val="5"/>
      <w:spacing w:before="0" w:line="14" w:lineRule="auto"/>
      <w:ind w:left="0"/>
      <w:rPr>
        <w:sz w:val="20"/>
      </w:rPr>
    </w:pPr>
    <w:r>
      <w:pict>
        <v:shape id="_x0000_s2053" o:spid="_x0000_s2053" o:spt="202" type="#_x0000_t202" style="position:absolute;left:0pt;margin-left:68.85pt;margin-top:789.25pt;height:13.1pt;width:1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B4EE011">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891E">
    <w:pPr>
      <w:pStyle w:val="5"/>
      <w:spacing w:before="0" w:line="14" w:lineRule="auto"/>
      <w:ind w:left="0"/>
      <w:rPr>
        <w:sz w:val="20"/>
      </w:rPr>
    </w:pPr>
    <w:r>
      <w:pict>
        <v:shape id="_x0000_s2055" o:spid="_x0000_s2055" o:spt="202" type="#_x0000_t202" style="position:absolute;left:0pt;margin-left:69.85pt;margin-top:789.25pt;height:13.1pt;width:1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D772722">
                <w:pPr>
                  <w:spacing w:before="11"/>
                  <w:ind w:left="20" w:right="0" w:firstLine="0"/>
                  <w:jc w:val="left"/>
                  <w:rPr>
                    <w:rFonts w:ascii="Times New Roman"/>
                    <w:sz w:val="20"/>
                  </w:rPr>
                </w:pPr>
                <w:r>
                  <w:rPr>
                    <w:rFonts w:ascii="Times New Roman"/>
                    <w:color w:val="231F20"/>
                    <w:sz w:val="20"/>
                  </w:rPr>
                  <w:t>20</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D4F5D"/>
    <w:multiLevelType w:val="multilevel"/>
    <w:tmpl w:val="9F8D4F5D"/>
    <w:lvl w:ilvl="0" w:tentative="0">
      <w:start w:val="3"/>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9" w:hanging="327"/>
      </w:pPr>
      <w:rPr>
        <w:rFonts w:hint="default"/>
      </w:rPr>
    </w:lvl>
    <w:lvl w:ilvl="3" w:tentative="0">
      <w:start w:val="0"/>
      <w:numFmt w:val="bullet"/>
      <w:lvlText w:val="•"/>
      <w:lvlJc w:val="left"/>
      <w:pPr>
        <w:ind w:left="3413" w:hanging="327"/>
      </w:pPr>
      <w:rPr>
        <w:rFonts w:hint="default"/>
      </w:rPr>
    </w:lvl>
    <w:lvl w:ilvl="4" w:tentative="0">
      <w:start w:val="0"/>
      <w:numFmt w:val="bullet"/>
      <w:lvlText w:val="•"/>
      <w:lvlJc w:val="left"/>
      <w:pPr>
        <w:ind w:left="4258" w:hanging="327"/>
      </w:pPr>
      <w:rPr>
        <w:rFonts w:hint="default"/>
      </w:rPr>
    </w:lvl>
    <w:lvl w:ilvl="5" w:tentative="0">
      <w:start w:val="0"/>
      <w:numFmt w:val="bullet"/>
      <w:lvlText w:val="•"/>
      <w:lvlJc w:val="left"/>
      <w:pPr>
        <w:ind w:left="5102" w:hanging="327"/>
      </w:pPr>
      <w:rPr>
        <w:rFonts w:hint="default"/>
      </w:rPr>
    </w:lvl>
    <w:lvl w:ilvl="6" w:tentative="0">
      <w:start w:val="0"/>
      <w:numFmt w:val="bullet"/>
      <w:lvlText w:val="•"/>
      <w:lvlJc w:val="left"/>
      <w:pPr>
        <w:ind w:left="5947" w:hanging="327"/>
      </w:pPr>
      <w:rPr>
        <w:rFonts w:hint="default"/>
      </w:rPr>
    </w:lvl>
    <w:lvl w:ilvl="7" w:tentative="0">
      <w:start w:val="0"/>
      <w:numFmt w:val="bullet"/>
      <w:lvlText w:val="•"/>
      <w:lvlJc w:val="left"/>
      <w:pPr>
        <w:ind w:left="6791" w:hanging="327"/>
      </w:pPr>
      <w:rPr>
        <w:rFonts w:hint="default"/>
      </w:rPr>
    </w:lvl>
    <w:lvl w:ilvl="8" w:tentative="0">
      <w:start w:val="0"/>
      <w:numFmt w:val="bullet"/>
      <w:lvlText w:val="•"/>
      <w:lvlJc w:val="left"/>
      <w:pPr>
        <w:ind w:left="7636" w:hanging="327"/>
      </w:pPr>
      <w:rPr>
        <w:rFonts w:hint="default"/>
      </w:rPr>
    </w:lvl>
  </w:abstractNum>
  <w:abstractNum w:abstractNumId="1">
    <w:nsid w:val="9FA4978A"/>
    <w:multiLevelType w:val="multilevel"/>
    <w:tmpl w:val="9FA4978A"/>
    <w:lvl w:ilvl="0" w:tentative="0">
      <w:start w:val="3"/>
      <w:numFmt w:val="decimal"/>
      <w:lvlText w:val="%1"/>
      <w:lvlJc w:val="left"/>
      <w:pPr>
        <w:ind w:left="883" w:hanging="327"/>
        <w:jc w:val="left"/>
      </w:pPr>
      <w:rPr>
        <w:rFonts w:hint="default"/>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6" w:hanging="490"/>
      </w:pPr>
      <w:rPr>
        <w:rFonts w:hint="default"/>
      </w:rPr>
    </w:lvl>
    <w:lvl w:ilvl="4" w:tentative="0">
      <w:start w:val="0"/>
      <w:numFmt w:val="bullet"/>
      <w:lvlText w:val="•"/>
      <w:lvlJc w:val="left"/>
      <w:pPr>
        <w:ind w:left="3695" w:hanging="490"/>
      </w:pPr>
      <w:rPr>
        <w:rFonts w:hint="default"/>
      </w:rPr>
    </w:lvl>
    <w:lvl w:ilvl="5" w:tentative="0">
      <w:start w:val="0"/>
      <w:numFmt w:val="bullet"/>
      <w:lvlText w:val="•"/>
      <w:lvlJc w:val="left"/>
      <w:pPr>
        <w:ind w:left="4633" w:hanging="490"/>
      </w:pPr>
      <w:rPr>
        <w:rFonts w:hint="default"/>
      </w:rPr>
    </w:lvl>
    <w:lvl w:ilvl="6" w:tentative="0">
      <w:start w:val="0"/>
      <w:numFmt w:val="bullet"/>
      <w:lvlText w:val="•"/>
      <w:lvlJc w:val="left"/>
      <w:pPr>
        <w:ind w:left="5571" w:hanging="490"/>
      </w:pPr>
      <w:rPr>
        <w:rFonts w:hint="default"/>
      </w:rPr>
    </w:lvl>
    <w:lvl w:ilvl="7" w:tentative="0">
      <w:start w:val="0"/>
      <w:numFmt w:val="bullet"/>
      <w:lvlText w:val="•"/>
      <w:lvlJc w:val="left"/>
      <w:pPr>
        <w:ind w:left="6510" w:hanging="490"/>
      </w:pPr>
      <w:rPr>
        <w:rFonts w:hint="default"/>
      </w:rPr>
    </w:lvl>
    <w:lvl w:ilvl="8" w:tentative="0">
      <w:start w:val="0"/>
      <w:numFmt w:val="bullet"/>
      <w:lvlText w:val="•"/>
      <w:lvlJc w:val="left"/>
      <w:pPr>
        <w:ind w:left="7448" w:hanging="490"/>
      </w:pPr>
      <w:rPr>
        <w:rFonts w:hint="default"/>
      </w:rPr>
    </w:lvl>
  </w:abstractNum>
  <w:abstractNum w:abstractNumId="2">
    <w:nsid w:val="A7B508DD"/>
    <w:multiLevelType w:val="multilevel"/>
    <w:tmpl w:val="A7B508DD"/>
    <w:lvl w:ilvl="0" w:tentative="0">
      <w:start w:val="2"/>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3">
    <w:nsid w:val="BB49D8EE"/>
    <w:multiLevelType w:val="multilevel"/>
    <w:tmpl w:val="BB49D8EE"/>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4">
    <w:nsid w:val="BF12F1D2"/>
    <w:multiLevelType w:val="multilevel"/>
    <w:tmpl w:val="BF12F1D2"/>
    <w:lvl w:ilvl="0" w:tentative="0">
      <w:start w:val="8"/>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7"/>
      </w:pPr>
      <w:rPr>
        <w:rFonts w:hint="default"/>
      </w:rPr>
    </w:lvl>
    <w:lvl w:ilvl="3" w:tentative="0">
      <w:start w:val="0"/>
      <w:numFmt w:val="bullet"/>
      <w:lvlText w:val="•"/>
      <w:lvlJc w:val="left"/>
      <w:pPr>
        <w:ind w:left="3407" w:hanging="327"/>
      </w:pPr>
      <w:rPr>
        <w:rFonts w:hint="default"/>
      </w:rPr>
    </w:lvl>
    <w:lvl w:ilvl="4" w:tentative="0">
      <w:start w:val="0"/>
      <w:numFmt w:val="bullet"/>
      <w:lvlText w:val="•"/>
      <w:lvlJc w:val="left"/>
      <w:pPr>
        <w:ind w:left="4250" w:hanging="327"/>
      </w:pPr>
      <w:rPr>
        <w:rFonts w:hint="default"/>
      </w:rPr>
    </w:lvl>
    <w:lvl w:ilvl="5" w:tentative="0">
      <w:start w:val="0"/>
      <w:numFmt w:val="bullet"/>
      <w:lvlText w:val="•"/>
      <w:lvlJc w:val="left"/>
      <w:pPr>
        <w:ind w:left="5092" w:hanging="327"/>
      </w:pPr>
      <w:rPr>
        <w:rFonts w:hint="default"/>
      </w:rPr>
    </w:lvl>
    <w:lvl w:ilvl="6" w:tentative="0">
      <w:start w:val="0"/>
      <w:numFmt w:val="bullet"/>
      <w:lvlText w:val="•"/>
      <w:lvlJc w:val="left"/>
      <w:pPr>
        <w:ind w:left="5935" w:hanging="327"/>
      </w:pPr>
      <w:rPr>
        <w:rFonts w:hint="default"/>
      </w:rPr>
    </w:lvl>
    <w:lvl w:ilvl="7" w:tentative="0">
      <w:start w:val="0"/>
      <w:numFmt w:val="bullet"/>
      <w:lvlText w:val="•"/>
      <w:lvlJc w:val="left"/>
      <w:pPr>
        <w:ind w:left="6777" w:hanging="327"/>
      </w:pPr>
      <w:rPr>
        <w:rFonts w:hint="default"/>
      </w:rPr>
    </w:lvl>
    <w:lvl w:ilvl="8" w:tentative="0">
      <w:start w:val="0"/>
      <w:numFmt w:val="bullet"/>
      <w:lvlText w:val="•"/>
      <w:lvlJc w:val="left"/>
      <w:pPr>
        <w:ind w:left="7620" w:hanging="327"/>
      </w:pPr>
      <w:rPr>
        <w:rFonts w:hint="default"/>
      </w:rPr>
    </w:lvl>
  </w:abstractNum>
  <w:abstractNum w:abstractNumId="5">
    <w:nsid w:val="C5BB5670"/>
    <w:multiLevelType w:val="multilevel"/>
    <w:tmpl w:val="C5BB5670"/>
    <w:lvl w:ilvl="0" w:tentative="0">
      <w:start w:val="4"/>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6" w:hanging="490"/>
      </w:pPr>
      <w:rPr>
        <w:rFonts w:hint="default"/>
      </w:rPr>
    </w:lvl>
    <w:lvl w:ilvl="4" w:tentative="0">
      <w:start w:val="0"/>
      <w:numFmt w:val="bullet"/>
      <w:lvlText w:val="•"/>
      <w:lvlJc w:val="left"/>
      <w:pPr>
        <w:ind w:left="3795" w:hanging="490"/>
      </w:pPr>
      <w:rPr>
        <w:rFonts w:hint="default"/>
      </w:rPr>
    </w:lvl>
    <w:lvl w:ilvl="5" w:tentative="0">
      <w:start w:val="0"/>
      <w:numFmt w:val="bullet"/>
      <w:lvlText w:val="•"/>
      <w:lvlJc w:val="left"/>
      <w:pPr>
        <w:ind w:left="4713"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50" w:hanging="490"/>
      </w:pPr>
      <w:rPr>
        <w:rFonts w:hint="default"/>
      </w:rPr>
    </w:lvl>
    <w:lvl w:ilvl="8" w:tentative="0">
      <w:start w:val="0"/>
      <w:numFmt w:val="bullet"/>
      <w:lvlText w:val="•"/>
      <w:lvlJc w:val="left"/>
      <w:pPr>
        <w:ind w:left="7468" w:hanging="490"/>
      </w:pPr>
      <w:rPr>
        <w:rFonts w:hint="default"/>
      </w:rPr>
    </w:lvl>
  </w:abstractNum>
  <w:abstractNum w:abstractNumId="6">
    <w:nsid w:val="CDC06A70"/>
    <w:multiLevelType w:val="multilevel"/>
    <w:tmpl w:val="CDC06A70"/>
    <w:lvl w:ilvl="0" w:tentative="0">
      <w:start w:val="1"/>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37"/>
        <w:jc w:val="left"/>
      </w:pPr>
      <w:rPr>
        <w:rFonts w:hint="default" w:ascii="方正书宋_GBK" w:hAnsi="方正书宋_GBK" w:eastAsia="方正书宋_GBK" w:cs="方正书宋_GBK"/>
        <w:color w:val="231F20"/>
        <w:spacing w:val="-56"/>
        <w:w w:val="100"/>
        <w:sz w:val="20"/>
        <w:szCs w:val="20"/>
      </w:rPr>
    </w:lvl>
    <w:lvl w:ilvl="3" w:tentative="0">
      <w:start w:val="0"/>
      <w:numFmt w:val="bullet"/>
      <w:lvlText w:val="•"/>
      <w:lvlJc w:val="left"/>
      <w:pPr>
        <w:ind w:left="1040" w:hanging="437"/>
      </w:pPr>
      <w:rPr>
        <w:rFonts w:hint="default"/>
      </w:rPr>
    </w:lvl>
    <w:lvl w:ilvl="4" w:tentative="0">
      <w:start w:val="0"/>
      <w:numFmt w:val="bullet"/>
      <w:lvlText w:val="•"/>
      <w:lvlJc w:val="left"/>
      <w:pPr>
        <w:ind w:left="2220" w:hanging="437"/>
      </w:pPr>
      <w:rPr>
        <w:rFonts w:hint="default"/>
      </w:rPr>
    </w:lvl>
    <w:lvl w:ilvl="5" w:tentative="0">
      <w:start w:val="0"/>
      <w:numFmt w:val="bullet"/>
      <w:lvlText w:val="•"/>
      <w:lvlJc w:val="left"/>
      <w:pPr>
        <w:ind w:left="3401" w:hanging="437"/>
      </w:pPr>
      <w:rPr>
        <w:rFonts w:hint="default"/>
      </w:rPr>
    </w:lvl>
    <w:lvl w:ilvl="6" w:tentative="0">
      <w:start w:val="0"/>
      <w:numFmt w:val="bullet"/>
      <w:lvlText w:val="•"/>
      <w:lvlJc w:val="left"/>
      <w:pPr>
        <w:ind w:left="4582" w:hanging="437"/>
      </w:pPr>
      <w:rPr>
        <w:rFonts w:hint="default"/>
      </w:rPr>
    </w:lvl>
    <w:lvl w:ilvl="7" w:tentative="0">
      <w:start w:val="0"/>
      <w:numFmt w:val="bullet"/>
      <w:lvlText w:val="•"/>
      <w:lvlJc w:val="left"/>
      <w:pPr>
        <w:ind w:left="5763" w:hanging="437"/>
      </w:pPr>
      <w:rPr>
        <w:rFonts w:hint="default"/>
      </w:rPr>
    </w:lvl>
    <w:lvl w:ilvl="8" w:tentative="0">
      <w:start w:val="0"/>
      <w:numFmt w:val="bullet"/>
      <w:lvlText w:val="•"/>
      <w:lvlJc w:val="left"/>
      <w:pPr>
        <w:ind w:left="6943" w:hanging="437"/>
      </w:pPr>
      <w:rPr>
        <w:rFonts w:hint="default"/>
      </w:rPr>
    </w:lvl>
  </w:abstractNum>
  <w:abstractNum w:abstractNumId="7">
    <w:nsid w:val="D05B658C"/>
    <w:multiLevelType w:val="multilevel"/>
    <w:tmpl w:val="D05B658C"/>
    <w:lvl w:ilvl="0" w:tentative="0">
      <w:start w:val="1"/>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righ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8">
    <w:nsid w:val="D18ED63D"/>
    <w:multiLevelType w:val="multilevel"/>
    <w:tmpl w:val="D18ED63D"/>
    <w:lvl w:ilvl="0" w:tentative="0">
      <w:start w:val="1"/>
      <w:numFmt w:val="decimal"/>
      <w:lvlText w:val="%1."/>
      <w:lvlJc w:val="left"/>
      <w:pPr>
        <w:ind w:left="55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444" w:hanging="218"/>
      </w:pPr>
      <w:rPr>
        <w:rFonts w:hint="default"/>
      </w:rPr>
    </w:lvl>
    <w:lvl w:ilvl="2" w:tentative="0">
      <w:start w:val="0"/>
      <w:numFmt w:val="bullet"/>
      <w:lvlText w:val="•"/>
      <w:lvlJc w:val="left"/>
      <w:pPr>
        <w:ind w:left="2329" w:hanging="218"/>
      </w:pPr>
      <w:rPr>
        <w:rFonts w:hint="default"/>
      </w:rPr>
    </w:lvl>
    <w:lvl w:ilvl="3" w:tentative="0">
      <w:start w:val="0"/>
      <w:numFmt w:val="bullet"/>
      <w:lvlText w:val="•"/>
      <w:lvlJc w:val="left"/>
      <w:pPr>
        <w:ind w:left="3213" w:hanging="218"/>
      </w:pPr>
      <w:rPr>
        <w:rFonts w:hint="default"/>
      </w:rPr>
    </w:lvl>
    <w:lvl w:ilvl="4" w:tentative="0">
      <w:start w:val="0"/>
      <w:numFmt w:val="bullet"/>
      <w:lvlText w:val="•"/>
      <w:lvlJc w:val="left"/>
      <w:pPr>
        <w:ind w:left="4098" w:hanging="218"/>
      </w:pPr>
      <w:rPr>
        <w:rFonts w:hint="default"/>
      </w:rPr>
    </w:lvl>
    <w:lvl w:ilvl="5" w:tentative="0">
      <w:start w:val="0"/>
      <w:numFmt w:val="bullet"/>
      <w:lvlText w:val="•"/>
      <w:lvlJc w:val="left"/>
      <w:pPr>
        <w:ind w:left="4982" w:hanging="218"/>
      </w:pPr>
      <w:rPr>
        <w:rFonts w:hint="default"/>
      </w:rPr>
    </w:lvl>
    <w:lvl w:ilvl="6" w:tentative="0">
      <w:start w:val="0"/>
      <w:numFmt w:val="bullet"/>
      <w:lvlText w:val="•"/>
      <w:lvlJc w:val="left"/>
      <w:pPr>
        <w:ind w:left="5867" w:hanging="218"/>
      </w:pPr>
      <w:rPr>
        <w:rFonts w:hint="default"/>
      </w:rPr>
    </w:lvl>
    <w:lvl w:ilvl="7" w:tentative="0">
      <w:start w:val="0"/>
      <w:numFmt w:val="bullet"/>
      <w:lvlText w:val="•"/>
      <w:lvlJc w:val="left"/>
      <w:pPr>
        <w:ind w:left="6751" w:hanging="218"/>
      </w:pPr>
      <w:rPr>
        <w:rFonts w:hint="default"/>
      </w:rPr>
    </w:lvl>
    <w:lvl w:ilvl="8" w:tentative="0">
      <w:start w:val="0"/>
      <w:numFmt w:val="bullet"/>
      <w:lvlText w:val="•"/>
      <w:lvlJc w:val="left"/>
      <w:pPr>
        <w:ind w:left="7636" w:hanging="218"/>
      </w:pPr>
      <w:rPr>
        <w:rFonts w:hint="default"/>
      </w:rPr>
    </w:lvl>
  </w:abstractNum>
  <w:abstractNum w:abstractNumId="9">
    <w:nsid w:val="E3898016"/>
    <w:multiLevelType w:val="multilevel"/>
    <w:tmpl w:val="E3898016"/>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3"/>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10">
    <w:nsid w:val="E9A873AF"/>
    <w:multiLevelType w:val="multilevel"/>
    <w:tmpl w:val="E9A873AF"/>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11">
    <w:nsid w:val="ECB49FEA"/>
    <w:multiLevelType w:val="multilevel"/>
    <w:tmpl w:val="ECB49FEA"/>
    <w:lvl w:ilvl="0" w:tentative="0">
      <w:start w:val="2"/>
      <w:numFmt w:val="upperLetter"/>
      <w:lvlText w:val="%1"/>
      <w:lvlJc w:val="left"/>
      <w:pPr>
        <w:ind w:left="3918" w:hanging="613"/>
        <w:jc w:val="left"/>
      </w:pPr>
      <w:rPr>
        <w:rFonts w:hint="default"/>
      </w:rPr>
    </w:lvl>
    <w:lvl w:ilvl="1" w:tentative="0">
      <w:start w:val="2"/>
      <w:numFmt w:val="decimal"/>
      <w:lvlText w:val="%1-%2"/>
      <w:lvlJc w:val="left"/>
      <w:pPr>
        <w:ind w:left="3918" w:hanging="613"/>
        <w:jc w:val="left"/>
      </w:pPr>
      <w:rPr>
        <w:rFonts w:hint="default" w:ascii="方正黑体_GBK" w:hAnsi="方正黑体_GBK" w:eastAsia="方正黑体_GBK" w:cs="方正黑体_GBK"/>
        <w:color w:val="231F20"/>
        <w:spacing w:val="-1"/>
        <w:w w:val="100"/>
        <w:sz w:val="26"/>
        <w:szCs w:val="26"/>
      </w:rPr>
    </w:lvl>
    <w:lvl w:ilvl="2" w:tentative="0">
      <w:start w:val="0"/>
      <w:numFmt w:val="bullet"/>
      <w:lvlText w:val="•"/>
      <w:lvlJc w:val="left"/>
      <w:pPr>
        <w:ind w:left="4997" w:hanging="613"/>
      </w:pPr>
      <w:rPr>
        <w:rFonts w:hint="default"/>
      </w:rPr>
    </w:lvl>
    <w:lvl w:ilvl="3" w:tentative="0">
      <w:start w:val="0"/>
      <w:numFmt w:val="bullet"/>
      <w:lvlText w:val="•"/>
      <w:lvlJc w:val="left"/>
      <w:pPr>
        <w:ind w:left="5535" w:hanging="613"/>
      </w:pPr>
      <w:rPr>
        <w:rFonts w:hint="default"/>
      </w:rPr>
    </w:lvl>
    <w:lvl w:ilvl="4" w:tentative="0">
      <w:start w:val="0"/>
      <w:numFmt w:val="bullet"/>
      <w:lvlText w:val="•"/>
      <w:lvlJc w:val="left"/>
      <w:pPr>
        <w:ind w:left="6074" w:hanging="613"/>
      </w:pPr>
      <w:rPr>
        <w:rFonts w:hint="default"/>
      </w:rPr>
    </w:lvl>
    <w:lvl w:ilvl="5" w:tentative="0">
      <w:start w:val="0"/>
      <w:numFmt w:val="bullet"/>
      <w:lvlText w:val="•"/>
      <w:lvlJc w:val="left"/>
      <w:pPr>
        <w:ind w:left="6612" w:hanging="613"/>
      </w:pPr>
      <w:rPr>
        <w:rFonts w:hint="default"/>
      </w:rPr>
    </w:lvl>
    <w:lvl w:ilvl="6" w:tentative="0">
      <w:start w:val="0"/>
      <w:numFmt w:val="bullet"/>
      <w:lvlText w:val="•"/>
      <w:lvlJc w:val="left"/>
      <w:pPr>
        <w:ind w:left="7151" w:hanging="613"/>
      </w:pPr>
      <w:rPr>
        <w:rFonts w:hint="default"/>
      </w:rPr>
    </w:lvl>
    <w:lvl w:ilvl="7" w:tentative="0">
      <w:start w:val="0"/>
      <w:numFmt w:val="bullet"/>
      <w:lvlText w:val="•"/>
      <w:lvlJc w:val="left"/>
      <w:pPr>
        <w:ind w:left="7689" w:hanging="613"/>
      </w:pPr>
      <w:rPr>
        <w:rFonts w:hint="default"/>
      </w:rPr>
    </w:lvl>
    <w:lvl w:ilvl="8" w:tentative="0">
      <w:start w:val="0"/>
      <w:numFmt w:val="bullet"/>
      <w:lvlText w:val="•"/>
      <w:lvlJc w:val="left"/>
      <w:pPr>
        <w:ind w:left="8228" w:hanging="613"/>
      </w:pPr>
      <w:rPr>
        <w:rFonts w:hint="default"/>
      </w:rPr>
    </w:lvl>
  </w:abstractNum>
  <w:abstractNum w:abstractNumId="12">
    <w:nsid w:val="FB1D83D2"/>
    <w:multiLevelType w:val="multilevel"/>
    <w:tmpl w:val="FB1D83D2"/>
    <w:lvl w:ilvl="0" w:tentative="0">
      <w:start w:val="6"/>
      <w:numFmt w:val="decimal"/>
      <w:lvlText w:val="%1"/>
      <w:lvlJc w:val="left"/>
      <w:pPr>
        <w:ind w:left="117" w:hanging="490"/>
        <w:jc w:val="left"/>
      </w:pPr>
      <w:rPr>
        <w:rFonts w:hint="default"/>
      </w:rPr>
    </w:lvl>
    <w:lvl w:ilvl="1" w:tentative="0">
      <w:start w:val="2"/>
      <w:numFmt w:val="decimal"/>
      <w:lvlText w:val="%1.%2"/>
      <w:lvlJc w:val="left"/>
      <w:pPr>
        <w:ind w:left="117" w:hanging="490"/>
        <w:jc w:val="left"/>
      </w:pPr>
      <w:rPr>
        <w:rFonts w:hint="default"/>
      </w:rPr>
    </w:lvl>
    <w:lvl w:ilvl="2" w:tentative="0">
      <w:start w:val="5"/>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5" w:hanging="490"/>
      </w:pPr>
      <w:rPr>
        <w:rFonts w:hint="default"/>
      </w:rPr>
    </w:lvl>
    <w:lvl w:ilvl="4" w:tentative="0">
      <w:start w:val="0"/>
      <w:numFmt w:val="bullet"/>
      <w:lvlText w:val="•"/>
      <w:lvlJc w:val="left"/>
      <w:pPr>
        <w:ind w:left="3794" w:hanging="490"/>
      </w:pPr>
      <w:rPr>
        <w:rFonts w:hint="default"/>
      </w:rPr>
    </w:lvl>
    <w:lvl w:ilvl="5" w:tentative="0">
      <w:start w:val="0"/>
      <w:numFmt w:val="bullet"/>
      <w:lvlText w:val="•"/>
      <w:lvlJc w:val="left"/>
      <w:pPr>
        <w:ind w:left="4712"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49" w:hanging="490"/>
      </w:pPr>
      <w:rPr>
        <w:rFonts w:hint="default"/>
      </w:rPr>
    </w:lvl>
    <w:lvl w:ilvl="8" w:tentative="0">
      <w:start w:val="0"/>
      <w:numFmt w:val="bullet"/>
      <w:lvlText w:val="•"/>
      <w:lvlJc w:val="left"/>
      <w:pPr>
        <w:ind w:left="7468" w:hanging="490"/>
      </w:pPr>
      <w:rPr>
        <w:rFonts w:hint="default"/>
      </w:rPr>
    </w:lvl>
  </w:abstractNum>
  <w:abstractNum w:abstractNumId="13">
    <w:nsid w:val="11903ED0"/>
    <w:multiLevelType w:val="multilevel"/>
    <w:tmpl w:val="11903ED0"/>
    <w:lvl w:ilvl="0" w:tentative="0">
      <w:start w:val="1"/>
      <w:numFmt w:val="decimal"/>
      <w:lvlText w:val="%1"/>
      <w:lvlJc w:val="left"/>
      <w:pPr>
        <w:ind w:left="937" w:hanging="381"/>
        <w:jc w:val="left"/>
      </w:pPr>
      <w:rPr>
        <w:rFonts w:hint="default"/>
      </w:rPr>
    </w:lvl>
    <w:lvl w:ilvl="1" w:tentative="0">
      <w:start w:val="2"/>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14">
    <w:nsid w:val="153BDAE3"/>
    <w:multiLevelType w:val="multilevel"/>
    <w:tmpl w:val="153BDAE3"/>
    <w:lvl w:ilvl="0" w:tentative="0">
      <w:start w:val="1"/>
      <w:numFmt w:val="decimal"/>
      <w:lvlText w:val="%1."/>
      <w:lvlJc w:val="left"/>
      <w:pPr>
        <w:ind w:left="11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8"/>
      </w:pPr>
      <w:rPr>
        <w:rFonts w:hint="default"/>
      </w:rPr>
    </w:lvl>
    <w:lvl w:ilvl="2" w:tentative="0">
      <w:start w:val="0"/>
      <w:numFmt w:val="bullet"/>
      <w:lvlText w:val="•"/>
      <w:lvlJc w:val="left"/>
      <w:pPr>
        <w:ind w:left="1977" w:hanging="218"/>
      </w:pPr>
      <w:rPr>
        <w:rFonts w:hint="default"/>
      </w:rPr>
    </w:lvl>
    <w:lvl w:ilvl="3" w:tentative="0">
      <w:start w:val="0"/>
      <w:numFmt w:val="bullet"/>
      <w:lvlText w:val="•"/>
      <w:lvlJc w:val="left"/>
      <w:pPr>
        <w:ind w:left="2905" w:hanging="218"/>
      </w:pPr>
      <w:rPr>
        <w:rFonts w:hint="default"/>
      </w:rPr>
    </w:lvl>
    <w:lvl w:ilvl="4" w:tentative="0">
      <w:start w:val="0"/>
      <w:numFmt w:val="bullet"/>
      <w:lvlText w:val="•"/>
      <w:lvlJc w:val="left"/>
      <w:pPr>
        <w:ind w:left="3834" w:hanging="218"/>
      </w:pPr>
      <w:rPr>
        <w:rFonts w:hint="default"/>
      </w:rPr>
    </w:lvl>
    <w:lvl w:ilvl="5" w:tentative="0">
      <w:start w:val="0"/>
      <w:numFmt w:val="bullet"/>
      <w:lvlText w:val="•"/>
      <w:lvlJc w:val="left"/>
      <w:pPr>
        <w:ind w:left="4762" w:hanging="218"/>
      </w:pPr>
      <w:rPr>
        <w:rFonts w:hint="default"/>
      </w:rPr>
    </w:lvl>
    <w:lvl w:ilvl="6" w:tentative="0">
      <w:start w:val="0"/>
      <w:numFmt w:val="bullet"/>
      <w:lvlText w:val="•"/>
      <w:lvlJc w:val="left"/>
      <w:pPr>
        <w:ind w:left="5691" w:hanging="218"/>
      </w:pPr>
      <w:rPr>
        <w:rFonts w:hint="default"/>
      </w:rPr>
    </w:lvl>
    <w:lvl w:ilvl="7" w:tentative="0">
      <w:start w:val="0"/>
      <w:numFmt w:val="bullet"/>
      <w:lvlText w:val="•"/>
      <w:lvlJc w:val="left"/>
      <w:pPr>
        <w:ind w:left="6619" w:hanging="218"/>
      </w:pPr>
      <w:rPr>
        <w:rFonts w:hint="default"/>
      </w:rPr>
    </w:lvl>
    <w:lvl w:ilvl="8" w:tentative="0">
      <w:start w:val="0"/>
      <w:numFmt w:val="bullet"/>
      <w:lvlText w:val="•"/>
      <w:lvlJc w:val="left"/>
      <w:pPr>
        <w:ind w:left="7548" w:hanging="218"/>
      </w:pPr>
      <w:rPr>
        <w:rFonts w:hint="default"/>
      </w:rPr>
    </w:lvl>
  </w:abstractNum>
  <w:abstractNum w:abstractNumId="15">
    <w:nsid w:val="166EBE00"/>
    <w:multiLevelType w:val="multilevel"/>
    <w:tmpl w:val="166EBE00"/>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abstractNum w:abstractNumId="16">
    <w:nsid w:val="205615BF"/>
    <w:multiLevelType w:val="multilevel"/>
    <w:tmpl w:val="205615BF"/>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17">
    <w:nsid w:val="3C23FD50"/>
    <w:multiLevelType w:val="multilevel"/>
    <w:tmpl w:val="3C23FD50"/>
    <w:lvl w:ilvl="0" w:tentative="0">
      <w:start w:val="6"/>
      <w:numFmt w:val="decimal"/>
      <w:lvlText w:val="%1"/>
      <w:lvlJc w:val="left"/>
      <w:pPr>
        <w:ind w:left="117" w:hanging="509"/>
        <w:jc w:val="left"/>
      </w:pPr>
      <w:rPr>
        <w:rFonts w:hint="default"/>
      </w:rPr>
    </w:lvl>
    <w:lvl w:ilvl="1" w:tentative="0">
      <w:start w:val="2"/>
      <w:numFmt w:val="decimal"/>
      <w:lvlText w:val="%1.%2"/>
      <w:lvlJc w:val="left"/>
      <w:pPr>
        <w:ind w:left="117" w:hanging="509"/>
        <w:jc w:val="left"/>
      </w:pPr>
      <w:rPr>
        <w:rFonts w:hint="default"/>
      </w:rPr>
    </w:lvl>
    <w:lvl w:ilvl="2" w:tentative="0">
      <w:start w:val="2"/>
      <w:numFmt w:val="decimal"/>
      <w:lvlText w:val="%1.%2.%3"/>
      <w:lvlJc w:val="left"/>
      <w:pPr>
        <w:ind w:left="117" w:hanging="509"/>
        <w:jc w:val="left"/>
      </w:pPr>
      <w:rPr>
        <w:rFonts w:hint="default" w:ascii="方正书宋_GBK" w:hAnsi="方正书宋_GBK" w:eastAsia="方正书宋_GBK" w:cs="方正书宋_GBK"/>
        <w:color w:val="231F20"/>
        <w:w w:val="100"/>
        <w:sz w:val="22"/>
        <w:szCs w:val="22"/>
      </w:rPr>
    </w:lvl>
    <w:lvl w:ilvl="3" w:tentative="0">
      <w:start w:val="0"/>
      <w:numFmt w:val="bullet"/>
      <w:lvlText w:val="•"/>
      <w:lvlJc w:val="left"/>
      <w:pPr>
        <w:ind w:left="2875" w:hanging="509"/>
      </w:pPr>
      <w:rPr>
        <w:rFonts w:hint="default"/>
      </w:rPr>
    </w:lvl>
    <w:lvl w:ilvl="4" w:tentative="0">
      <w:start w:val="0"/>
      <w:numFmt w:val="bullet"/>
      <w:lvlText w:val="•"/>
      <w:lvlJc w:val="left"/>
      <w:pPr>
        <w:ind w:left="3794" w:hanging="509"/>
      </w:pPr>
      <w:rPr>
        <w:rFonts w:hint="default"/>
      </w:rPr>
    </w:lvl>
    <w:lvl w:ilvl="5" w:tentative="0">
      <w:start w:val="0"/>
      <w:numFmt w:val="bullet"/>
      <w:lvlText w:val="•"/>
      <w:lvlJc w:val="left"/>
      <w:pPr>
        <w:ind w:left="4712" w:hanging="509"/>
      </w:pPr>
      <w:rPr>
        <w:rFonts w:hint="default"/>
      </w:rPr>
    </w:lvl>
    <w:lvl w:ilvl="6" w:tentative="0">
      <w:start w:val="0"/>
      <w:numFmt w:val="bullet"/>
      <w:lvlText w:val="•"/>
      <w:lvlJc w:val="left"/>
      <w:pPr>
        <w:ind w:left="5631" w:hanging="509"/>
      </w:pPr>
      <w:rPr>
        <w:rFonts w:hint="default"/>
      </w:rPr>
    </w:lvl>
    <w:lvl w:ilvl="7" w:tentative="0">
      <w:start w:val="0"/>
      <w:numFmt w:val="bullet"/>
      <w:lvlText w:val="•"/>
      <w:lvlJc w:val="left"/>
      <w:pPr>
        <w:ind w:left="6549" w:hanging="509"/>
      </w:pPr>
      <w:rPr>
        <w:rFonts w:hint="default"/>
      </w:rPr>
    </w:lvl>
    <w:lvl w:ilvl="8" w:tentative="0">
      <w:start w:val="0"/>
      <w:numFmt w:val="bullet"/>
      <w:lvlText w:val="•"/>
      <w:lvlJc w:val="left"/>
      <w:pPr>
        <w:ind w:left="7468" w:hanging="509"/>
      </w:pPr>
      <w:rPr>
        <w:rFonts w:hint="default"/>
      </w:rPr>
    </w:lvl>
  </w:abstractNum>
  <w:abstractNum w:abstractNumId="18">
    <w:nsid w:val="420B5B80"/>
    <w:multiLevelType w:val="multilevel"/>
    <w:tmpl w:val="420B5B80"/>
    <w:lvl w:ilvl="0" w:tentative="0">
      <w:start w:val="1"/>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abstractNum w:abstractNumId="19">
    <w:nsid w:val="53E024E5"/>
    <w:multiLevelType w:val="multilevel"/>
    <w:tmpl w:val="53E024E5"/>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20">
    <w:nsid w:val="7DB19DBB"/>
    <w:multiLevelType w:val="multilevel"/>
    <w:tmpl w:val="7DB19DBB"/>
    <w:lvl w:ilvl="0" w:tentative="0">
      <w:start w:val="4"/>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1933" w:hanging="491"/>
      </w:pPr>
      <w:rPr>
        <w:rFonts w:hint="default"/>
      </w:rPr>
    </w:lvl>
    <w:lvl w:ilvl="4" w:tentative="0">
      <w:start w:val="0"/>
      <w:numFmt w:val="bullet"/>
      <w:lvlText w:val="•"/>
      <w:lvlJc w:val="left"/>
      <w:pPr>
        <w:ind w:left="2986" w:hanging="491"/>
      </w:pPr>
      <w:rPr>
        <w:rFonts w:hint="default"/>
      </w:rPr>
    </w:lvl>
    <w:lvl w:ilvl="5" w:tentative="0">
      <w:start w:val="0"/>
      <w:numFmt w:val="bullet"/>
      <w:lvlText w:val="•"/>
      <w:lvlJc w:val="left"/>
      <w:pPr>
        <w:ind w:left="4039" w:hanging="491"/>
      </w:pPr>
      <w:rPr>
        <w:rFonts w:hint="default"/>
      </w:rPr>
    </w:lvl>
    <w:lvl w:ilvl="6" w:tentative="0">
      <w:start w:val="0"/>
      <w:numFmt w:val="bullet"/>
      <w:lvlText w:val="•"/>
      <w:lvlJc w:val="left"/>
      <w:pPr>
        <w:ind w:left="5092" w:hanging="491"/>
      </w:pPr>
      <w:rPr>
        <w:rFonts w:hint="default"/>
      </w:rPr>
    </w:lvl>
    <w:lvl w:ilvl="7" w:tentative="0">
      <w:start w:val="0"/>
      <w:numFmt w:val="bullet"/>
      <w:lvlText w:val="•"/>
      <w:lvlJc w:val="left"/>
      <w:pPr>
        <w:ind w:left="6145" w:hanging="491"/>
      </w:pPr>
      <w:rPr>
        <w:rFonts w:hint="default"/>
      </w:rPr>
    </w:lvl>
    <w:lvl w:ilvl="8" w:tentative="0">
      <w:start w:val="0"/>
      <w:numFmt w:val="bullet"/>
      <w:lvlText w:val="•"/>
      <w:lvlJc w:val="left"/>
      <w:pPr>
        <w:ind w:left="7199" w:hanging="491"/>
      </w:pPr>
      <w:rPr>
        <w:rFonts w:hint="default"/>
      </w:rPr>
    </w:lvl>
  </w:abstractNum>
  <w:num w:numId="1">
    <w:abstractNumId w:val="3"/>
  </w:num>
  <w:num w:numId="2">
    <w:abstractNumId w:val="19"/>
  </w:num>
  <w:num w:numId="3">
    <w:abstractNumId w:val="8"/>
  </w:num>
  <w:num w:numId="4">
    <w:abstractNumId w:val="16"/>
  </w:num>
  <w:num w:numId="5">
    <w:abstractNumId w:val="14"/>
  </w:num>
  <w:num w:numId="6">
    <w:abstractNumId w:val="10"/>
  </w:num>
  <w:num w:numId="7">
    <w:abstractNumId w:val="6"/>
  </w:num>
  <w:num w:numId="8">
    <w:abstractNumId w:val="18"/>
  </w:num>
  <w:num w:numId="9">
    <w:abstractNumId w:val="2"/>
  </w:num>
  <w:num w:numId="10">
    <w:abstractNumId w:val="15"/>
  </w:num>
  <w:num w:numId="11">
    <w:abstractNumId w:val="1"/>
  </w:num>
  <w:num w:numId="12">
    <w:abstractNumId w:val="0"/>
  </w:num>
  <w:num w:numId="13">
    <w:abstractNumId w:val="20"/>
  </w:num>
  <w:num w:numId="14">
    <w:abstractNumId w:val="5"/>
  </w:num>
  <w:num w:numId="15">
    <w:abstractNumId w:val="7"/>
  </w:num>
  <w:num w:numId="16">
    <w:abstractNumId w:val="13"/>
  </w:num>
  <w:num w:numId="17">
    <w:abstractNumId w:val="9"/>
  </w:num>
  <w:num w:numId="18">
    <w:abstractNumId w:val="17"/>
  </w:num>
  <w:num w:numId="19">
    <w:abstractNumId w:val="12"/>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VhZTdjZGQ1ZTQ3NTY2MjFkZmZiYjM0NDkwMDRjNzkifQ=="/>
  </w:docVars>
  <w:rsids>
    <w:rsidRoot w:val="00000000"/>
    <w:rsid w:val="4BFE4A54"/>
    <w:rsid w:val="4CB00A21"/>
    <w:rsid w:val="54567E2C"/>
    <w:rsid w:val="60E14509"/>
    <w:rsid w:val="7008523F"/>
    <w:rsid w:val="7C5C2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autoRedefine/>
    <w:qFormat/>
    <w:uiPriority w:val="1"/>
    <w:pPr>
      <w:spacing w:before="174"/>
      <w:ind w:right="98"/>
      <w:jc w:val="center"/>
      <w:outlineLvl w:val="1"/>
    </w:pPr>
    <w:rPr>
      <w:rFonts w:ascii="方正黑体_GBK" w:hAnsi="方正黑体_GBK" w:eastAsia="方正黑体_GBK" w:cs="方正黑体_GBK"/>
      <w:sz w:val="28"/>
      <w:szCs w:val="28"/>
    </w:rPr>
  </w:style>
  <w:style w:type="paragraph" w:styleId="3">
    <w:name w:val="heading 2"/>
    <w:basedOn w:val="1"/>
    <w:autoRedefine/>
    <w:qFormat/>
    <w:uiPriority w:val="1"/>
    <w:pPr>
      <w:ind w:left="3918"/>
      <w:outlineLvl w:val="2"/>
    </w:pPr>
    <w:rPr>
      <w:rFonts w:ascii="方正黑体_GBK" w:hAnsi="方正黑体_GBK" w:eastAsia="方正黑体_GBK" w:cs="方正黑体_GBK"/>
      <w:sz w:val="26"/>
      <w:szCs w:val="26"/>
    </w:rPr>
  </w:style>
  <w:style w:type="paragraph" w:styleId="4">
    <w:name w:val="heading 3"/>
    <w:basedOn w:val="1"/>
    <w:autoRedefine/>
    <w:qFormat/>
    <w:uiPriority w:val="1"/>
    <w:pPr>
      <w:ind w:left="557"/>
      <w:outlineLvl w:val="3"/>
    </w:pPr>
    <w:rPr>
      <w:rFonts w:ascii="方正小标宋_GBK" w:hAnsi="方正小标宋_GBK" w:eastAsia="方正小标宋_GBK" w:cs="方正小标宋_GBK"/>
      <w:sz w:val="24"/>
      <w:szCs w:val="24"/>
    </w:rPr>
  </w:style>
  <w:style w:type="character" w:default="1" w:styleId="7">
    <w:name w:val="Default Paragraph Font"/>
    <w:autoRedefine/>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spacing w:before="109"/>
      <w:ind w:left="117"/>
    </w:pPr>
    <w:rPr>
      <w:rFonts w:ascii="方正书宋_GBK" w:hAnsi="方正书宋_GBK" w:eastAsia="方正书宋_GBK" w:cs="方正书宋_GBK"/>
      <w:sz w:val="22"/>
      <w:szCs w:val="22"/>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109"/>
      <w:ind w:left="883" w:hanging="326"/>
    </w:pPr>
    <w:rPr>
      <w:rFonts w:ascii="方正书宋_GBK" w:hAnsi="方正书宋_GBK" w:eastAsia="方正书宋_GBK" w:cs="方正书宋_GBK"/>
    </w:rPr>
  </w:style>
  <w:style w:type="paragraph" w:customStyle="1" w:styleId="10">
    <w:name w:val="Table Paragraph"/>
    <w:basedOn w:val="1"/>
    <w:autoRedefine/>
    <w:qFormat/>
    <w:uiPriority w:val="1"/>
    <w:rPr>
      <w:rFonts w:ascii="方正书宋_GBK" w:hAnsi="方正书宋_GBK" w:eastAsia="方正书宋_GBK" w:cs="方正书宋_GBK"/>
    </w:rPr>
  </w:style>
  <w:style w:type="paragraph" w:customStyle="1" w:styleId="11">
    <w:name w:val="Picture caption|1"/>
    <w:basedOn w:val="1"/>
    <w:autoRedefine/>
    <w:qFormat/>
    <w:uiPriority w:val="0"/>
    <w:pPr>
      <w:spacing w:line="216" w:lineRule="exact"/>
    </w:pPr>
    <w:rPr>
      <w:rFonts w:ascii="MingLiU" w:hAnsi="MingLiU" w:eastAsia="MingLiU"/>
      <w:color w:val="323232"/>
      <w:sz w:val="14"/>
      <w:szCs w:val="1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4"/>
    <customShpInfo spid="_x0000_s2053"/>
    <customShpInfo spid="_x0000_s205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8614</Words>
  <Characters>8698</Characters>
  <TotalTime>3</TotalTime>
  <ScaleCrop>false</ScaleCrop>
  <LinksUpToDate>false</LinksUpToDate>
  <CharactersWithSpaces>9083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2025-02-10T07:41:50Z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E03EAA218CDF4D9B9EF1987A29E429EF_12</vt:lpwstr>
  </property>
  <property fmtid="{D5CDD505-2E9C-101B-9397-08002B2CF9AE}" pid="7" name="KSOTemplateDocerSaveRecord">
    <vt:lpwstr>eyJoZGlkIjoiY2I1NWQ5MWJlMzAwM2E2Zjk2NzdlMThkNGMzNDE4MjgiLCJ1c2VySWQiOiIyNDE0NzM0NTUifQ==</vt:lpwstr>
  </property>
</Properties>
</file>