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3EC8F">
      <w:pPr>
        <w:spacing w:line="360" w:lineRule="auto"/>
        <w:rPr>
          <w:rFonts w:ascii="宋体" w:hAnsi="宋体"/>
          <w:sz w:val="24"/>
        </w:rPr>
      </w:pPr>
    </w:p>
    <w:p w14:paraId="71AFE37B">
      <w:pPr>
        <w:spacing w:line="360" w:lineRule="auto"/>
        <w:jc w:val="center"/>
        <w:rPr>
          <w:rFonts w:hint="eastAsia" w:ascii="黑体" w:hAnsi="黑体" w:eastAsia="黑体" w:cs="黑体"/>
          <w:b w:val="0"/>
          <w:bCs w:val="0"/>
          <w:spacing w:val="60"/>
          <w:sz w:val="44"/>
          <w:szCs w:val="44"/>
        </w:rPr>
      </w:pPr>
      <w:r>
        <w:rPr>
          <w:rFonts w:hint="eastAsia" w:ascii="黑体" w:hAnsi="黑体" w:eastAsia="黑体" w:cs="黑体"/>
          <w:b w:val="0"/>
          <w:bCs w:val="0"/>
          <w:sz w:val="44"/>
          <w:szCs w:val="44"/>
        </w:rPr>
        <w:t>股权转让协议</w:t>
      </w:r>
    </w:p>
    <w:p w14:paraId="7DEB5A4D">
      <w:pPr>
        <w:spacing w:line="520" w:lineRule="exact"/>
        <w:ind w:firstLine="420"/>
        <w:jc w:val="center"/>
        <w:rPr>
          <w:rFonts w:ascii="宋体" w:hAnsi="宋体"/>
          <w:b/>
          <w:bCs/>
          <w:sz w:val="24"/>
        </w:rPr>
      </w:pPr>
    </w:p>
    <w:p w14:paraId="1DAA9D16">
      <w:pPr>
        <w:spacing w:line="520" w:lineRule="exact"/>
        <w:ind w:firstLine="420"/>
        <w:jc w:val="center"/>
        <w:rPr>
          <w:rFonts w:ascii="宋体" w:hAnsi="宋体"/>
          <w:b/>
          <w:bCs/>
          <w:sz w:val="24"/>
        </w:rPr>
      </w:pPr>
    </w:p>
    <w:p w14:paraId="5480BAD2">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转让方（甲方）：</w:t>
      </w:r>
    </w:p>
    <w:p w14:paraId="36DEC86C">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p>
    <w:p w14:paraId="57E9B9FA">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受让方（乙方）：</w:t>
      </w:r>
    </w:p>
    <w:p w14:paraId="191CBA6E">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bookmarkStart w:id="0" w:name="_GoBack"/>
      <w:bookmarkEnd w:id="0"/>
    </w:p>
    <w:p w14:paraId="487820AF">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p>
    <w:p w14:paraId="7334AC77">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鉴于：</w:t>
      </w:r>
    </w:p>
    <w:p w14:paraId="6F888C96">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1．甲方为于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日依中国法律设立并合法存续的公司法人，公司注册证号：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097D522E">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或：甲方为    国合法公民，身份证号码：          。</w:t>
      </w:r>
    </w:p>
    <w:p w14:paraId="5D60BCE2">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2．本合同所涉及之标的公司</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（下称标的公司）是合法存续的、并由甲方合法持有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%股权的公司法人，具有独立的公司法人资格，注册证号：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2C8CF709">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3．乙方为依据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国法律依法设立并合法存续的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（性质）的公司、或机构，注册证号：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13CCC35F">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或：乙方为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国合法公民，身份证或护照号码：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5809770E">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4．甲方拟转让其合法持有的标的公司的股权；乙方拟收购上述股权。</w:t>
      </w:r>
    </w:p>
    <w:p w14:paraId="66C0FFDC">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根据等相关法律、法规、规章的规定，甲乙双方遵循自愿、公平、诚实信用的原则，经友好协商，就甲方向乙方转让其拥有的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rPr>
        <w:t>公司名称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股权相关事宜达成一致，签订本股权转让合同（以下简称“</w:t>
      </w:r>
      <w:r>
        <w:rPr>
          <w:rFonts w:hint="eastAsia" w:ascii="仿宋_GB2312" w:hAnsi="仿宋_GB2312" w:eastAsia="仿宋_GB2312" w:cs="仿宋_GB2312"/>
          <w:b/>
          <w:bCs/>
          <w:sz w:val="28"/>
          <w:szCs w:val="28"/>
        </w:rPr>
        <w:t>本合同”</w:t>
      </w:r>
      <w:r>
        <w:rPr>
          <w:rFonts w:hint="eastAsia" w:ascii="仿宋_GB2312" w:hAnsi="仿宋_GB2312" w:eastAsia="仿宋_GB2312" w:cs="仿宋_GB2312"/>
          <w:sz w:val="28"/>
          <w:szCs w:val="28"/>
        </w:rPr>
        <w:t>）如下：</w:t>
      </w:r>
    </w:p>
    <w:p w14:paraId="7BBA8F4F">
      <w:pPr>
        <w:keepNext w:val="0"/>
        <w:keepLines w:val="0"/>
        <w:pageBreakBefore w:val="0"/>
        <w:numPr>
          <w:ilvl w:val="0"/>
          <w:numId w:val="3"/>
        </w:numPr>
        <w:kinsoku/>
        <w:wordWrap/>
        <w:overflowPunct/>
        <w:topLinePunct w:val="0"/>
        <w:bidi w:val="0"/>
        <w:snapToGrid/>
        <w:spacing w:line="6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定义与释义</w:t>
      </w:r>
    </w:p>
    <w:p w14:paraId="3CE8BCAF">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除非本合同中另有约定，本合同中的有关词语含义如下：</w:t>
      </w:r>
    </w:p>
    <w:p w14:paraId="51D8C2C5">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1.1 转让方，是指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rPr>
        <w:t>公司名称或自然人姓名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即甲方；</w:t>
      </w:r>
    </w:p>
    <w:p w14:paraId="5C672313">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1.2 受让方，是指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rPr>
        <w:t>公司名称或自然人姓名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Cs/>
          <w:sz w:val="28"/>
          <w:szCs w:val="28"/>
        </w:rPr>
        <w:t>，即乙方；</w:t>
      </w:r>
    </w:p>
    <w:p w14:paraId="35A4B80C">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1.3股权转让：是指甲方将其持有的标的公司的</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%股权转让给乙方；</w:t>
      </w:r>
    </w:p>
    <w:p w14:paraId="55257BC3">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bCs/>
          <w:sz w:val="28"/>
          <w:szCs w:val="28"/>
        </w:rPr>
        <w:t>转让价款</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本合同下甲方就转让所持有的股权，自乙方获得的该股权的对价。</w:t>
      </w:r>
    </w:p>
    <w:p w14:paraId="6D3E0F6D">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1.5重大不利影响，是指在标的公司的财务或业务、资产、财产、收益及前景中发生的，依据合理预计，单独或共同将导致任何改变或影响，而该等改变或影响会对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i</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历史的、近期或长期计划的业务、资产、财产、经营结果、标的公司的状况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财务或其它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及前景，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ii</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各方完成本合同下拟进行的交易，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iii</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标的公司的价值，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iv</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或转让方完成本合同下交易或履行其在本合同下义务的能力等，产生重大不利影响。</w:t>
      </w:r>
    </w:p>
    <w:p w14:paraId="7EA76790">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1.6</w:t>
      </w:r>
      <w:r>
        <w:rPr>
          <w:rFonts w:hint="eastAsia" w:ascii="仿宋_GB2312" w:hAnsi="仿宋_GB2312" w:eastAsia="仿宋_GB2312" w:cs="仿宋_GB2312"/>
          <w:sz w:val="28"/>
          <w:szCs w:val="28"/>
        </w:rPr>
        <w:t>登记机关：指中华人民共和国工商行政管理总局或其地方授权机关；</w:t>
      </w:r>
    </w:p>
    <w:p w14:paraId="4C2F9213">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1.7股权转让完成：是指甲乙双方将股权转让事宜记载于股东名册并办理完毕工商变更登记手续。</w:t>
      </w:r>
    </w:p>
    <w:p w14:paraId="3CEE4AA0">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sz w:val="28"/>
          <w:szCs w:val="28"/>
        </w:rPr>
        <w:t>1.8</w:t>
      </w:r>
      <w:r>
        <w:rPr>
          <w:rFonts w:hint="eastAsia" w:ascii="仿宋_GB2312" w:hAnsi="仿宋_GB2312" w:eastAsia="仿宋_GB2312" w:cs="仿宋_GB2312"/>
          <w:bCs/>
          <w:sz w:val="28"/>
          <w:szCs w:val="28"/>
        </w:rPr>
        <w:t>过渡期：</w:t>
      </w:r>
      <w:r>
        <w:rPr>
          <w:rFonts w:hint="eastAsia" w:ascii="仿宋_GB2312" w:hAnsi="仿宋_GB2312" w:eastAsia="仿宋_GB2312" w:cs="仿宋_GB2312"/>
          <w:sz w:val="28"/>
          <w:szCs w:val="28"/>
        </w:rPr>
        <w:t>是指本合同签订日至股权交割日的期间。</w:t>
      </w:r>
    </w:p>
    <w:p w14:paraId="5D53E086">
      <w:pPr>
        <w:pStyle w:val="18"/>
        <w:keepNext w:val="0"/>
        <w:keepLines w:val="0"/>
        <w:pageBreakBefore w:val="0"/>
        <w:numPr>
          <w:ilvl w:val="0"/>
          <w:numId w:val="0"/>
        </w:numPr>
        <w:kinsoku/>
        <w:wordWrap/>
        <w:overflowPunct/>
        <w:topLinePunct w:val="0"/>
        <w:bidi w:val="0"/>
        <w:snapToGrid/>
        <w:spacing w:after="0" w:line="620" w:lineRule="exact"/>
        <w:ind w:firstLine="630" w:firstLineChars="225"/>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除非另有明确规定，在本合同中，应适用如下解释规则：</w:t>
      </w:r>
    </w:p>
    <w:p w14:paraId="3786F0F0">
      <w:pPr>
        <w:pStyle w:val="18"/>
        <w:keepNext w:val="0"/>
        <w:keepLines w:val="0"/>
        <w:pageBreakBefore w:val="0"/>
        <w:numPr>
          <w:ilvl w:val="0"/>
          <w:numId w:val="0"/>
        </w:numPr>
        <w:kinsoku/>
        <w:wordWrap/>
        <w:overflowPunct/>
        <w:topLinePunct w:val="0"/>
        <w:bidi w:val="0"/>
        <w:snapToGrid/>
        <w:spacing w:after="0" w:line="620" w:lineRule="exact"/>
        <w:ind w:firstLine="630" w:firstLineChars="225"/>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1.9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14:paraId="57E88D7C">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1.10货币：在本协议中，凡提及RMB或人民币时均指中国法定货币，凡提及$或美元时均指美国法定货币。</w:t>
      </w:r>
    </w:p>
    <w:p w14:paraId="460DBE3E">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1.11包括：指包括但不限于。</w:t>
      </w:r>
    </w:p>
    <w:p w14:paraId="33E8131C">
      <w:pPr>
        <w:keepNext w:val="0"/>
        <w:keepLines w:val="0"/>
        <w:pageBreakBefore w:val="0"/>
        <w:numPr>
          <w:ilvl w:val="0"/>
          <w:numId w:val="3"/>
        </w:numPr>
        <w:kinsoku/>
        <w:wordWrap/>
        <w:overflowPunct/>
        <w:topLinePunct w:val="0"/>
        <w:bidi w:val="0"/>
        <w:snapToGrid/>
        <w:spacing w:line="620" w:lineRule="exact"/>
        <w:ind w:left="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股权转让标的</w:t>
      </w:r>
    </w:p>
    <w:p w14:paraId="279DA89E">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2.1本合同转让标的为甲方所持有的标的公司的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股权。以下均称股权。</w:t>
      </w:r>
    </w:p>
    <w:p w14:paraId="4095B2E4">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2.2甲方就其持有的转让标的所认缴的出资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元人民币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或其他币种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已经全额缴清；</w:t>
      </w:r>
    </w:p>
    <w:p w14:paraId="28D9368E">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2.3转让标的上未作过任何形式的担保，包括但不限于在该股权上设置质押、或任何影响股权转让或股东权利行使的限制或义务。转让标的也未被任何有权机构采取查封等强制性措施。</w:t>
      </w:r>
    </w:p>
    <w:p w14:paraId="2FB68236">
      <w:pPr>
        <w:keepNext w:val="0"/>
        <w:keepLines w:val="0"/>
        <w:pageBreakBefore w:val="0"/>
        <w:numPr>
          <w:ilvl w:val="0"/>
          <w:numId w:val="3"/>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rPr>
        <w:t>标的公司</w:t>
      </w:r>
    </w:p>
    <w:p w14:paraId="167AF0DA">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本合同所涉及之标的公司</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是合法存续的、并由甲方合法持有其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%股权的有限责任公司，具有独立的公司法人资格。</w:t>
      </w:r>
    </w:p>
    <w:p w14:paraId="3AD18670">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3.2标的公司拥有在下列范围内经营的、合法的批准或许可文件：</w:t>
      </w:r>
    </w:p>
    <w:p w14:paraId="249B13DF">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p>
    <w:p w14:paraId="559F4AF0">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p>
    <w:p w14:paraId="7AE11B22">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p>
    <w:p w14:paraId="15319777">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3.3关于标的公司的财务和法律状况，尽调或双方确认情况如下（详细见《资产及资料清单》、《债权债务清单》）：</w:t>
      </w:r>
    </w:p>
    <w:p w14:paraId="46C1B65B">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2F71935D">
      <w:pPr>
        <w:keepNext w:val="0"/>
        <w:keepLines w:val="0"/>
        <w:pageBreakBefore w:val="0"/>
        <w:numPr>
          <w:ilvl w:val="0"/>
          <w:numId w:val="3"/>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rPr>
        <w:t>股权转让的前提条件</w:t>
      </w:r>
    </w:p>
    <w:p w14:paraId="2E8725A2">
      <w:pPr>
        <w:keepNext w:val="0"/>
        <w:keepLines w:val="0"/>
        <w:pageBreakBefore w:val="0"/>
        <w:kinsoku/>
        <w:wordWrap/>
        <w:overflowPunct/>
        <w:topLinePunct w:val="0"/>
        <w:bidi w:val="0"/>
        <w:snapToGrid/>
        <w:spacing w:line="620" w:lineRule="exact"/>
        <w:ind w:firstLine="57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 甲方依据有关法律、法规、政策的规定，就本合同项下股权转让已依法和章程的规定履行了批准或授权程序。</w:t>
      </w:r>
    </w:p>
    <w:p w14:paraId="0A816D8A">
      <w:pPr>
        <w:keepNext w:val="0"/>
        <w:keepLines w:val="0"/>
        <w:pageBreakBefore w:val="0"/>
        <w:kinsoku/>
        <w:wordWrap/>
        <w:overflowPunct/>
        <w:topLinePunct w:val="0"/>
        <w:bidi w:val="0"/>
        <w:snapToGrid/>
        <w:spacing w:line="620" w:lineRule="exact"/>
        <w:ind w:firstLine="57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 乙方依本合同的约定受让甲方所拥有的转让标的事项，已依法和章程的规定履行了批准或授权程序。</w:t>
      </w:r>
    </w:p>
    <w:p w14:paraId="3EBB03CB">
      <w:pPr>
        <w:keepNext w:val="0"/>
        <w:keepLines w:val="0"/>
        <w:pageBreakBefore w:val="0"/>
        <w:numPr>
          <w:ilvl w:val="0"/>
          <w:numId w:val="3"/>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股权转让价款及支付</w:t>
      </w:r>
    </w:p>
    <w:p w14:paraId="1ADEF80A">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5.1转让价格</w:t>
      </w:r>
    </w:p>
    <w:p w14:paraId="4E859CD5">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甲方将本合同项下转让标的以人民币（大写）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万元〖即：人民币（小写）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万元〗转让给乙方。</w:t>
      </w:r>
    </w:p>
    <w:p w14:paraId="6F2FF79A">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5.2计价货币</w:t>
      </w:r>
    </w:p>
    <w:p w14:paraId="1E8F622E">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上述转让价款以人民币作为计价单位。</w:t>
      </w:r>
    </w:p>
    <w:p w14:paraId="7AECB4A9">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5.3转让价款支付方式</w:t>
      </w:r>
    </w:p>
    <w:p w14:paraId="409C8631">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乙方采用一次性付款方式，将转让价款在本合同生效后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日内汇入甲方指定账户。</w:t>
      </w:r>
    </w:p>
    <w:p w14:paraId="13F0CCC3">
      <w:pPr>
        <w:keepNext w:val="0"/>
        <w:keepLines w:val="0"/>
        <w:pageBreakBefore w:val="0"/>
        <w:numPr>
          <w:ilvl w:val="0"/>
          <w:numId w:val="3"/>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rPr>
        <w:t>股权转让的交割事项</w:t>
      </w:r>
    </w:p>
    <w:p w14:paraId="4561F018">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本合同签订后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个工作日内，甲方应促使标的公司到登记机关办理标的公司的股权变更登记手续，乙方应给予必要的协助与配合。登记机关办理完毕股权变更登记手续，视为股权转让完成之日。</w:t>
      </w:r>
    </w:p>
    <w:p w14:paraId="6756F06F">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6.2 本合同签订后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日内，甲方应按照本合同第3.</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条规定的清单，将标的公司的资产及清单、权属证书、批件、财务报表、档案资料、印章印鉴、建筑工程图表、技术资产等移交给乙方，由乙方核验查收。</w:t>
      </w:r>
    </w:p>
    <w:p w14:paraId="426F72D3">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6.3甲方对其提供的上述材料的完整性、真实性，所提供材料与标的公司真实情况的一致性负责，并承担因隐瞒、虚报所引起的一切法律责任。</w:t>
      </w:r>
    </w:p>
    <w:p w14:paraId="4369974A">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6.4甲方应在上述约定的期限内，将标的公司的资产、控制权、管理权移交给乙方，由乙方对标的公司实施管理。</w:t>
      </w:r>
    </w:p>
    <w:p w14:paraId="1473C62B">
      <w:pPr>
        <w:keepNext w:val="0"/>
        <w:keepLines w:val="0"/>
        <w:pageBreakBefore w:val="0"/>
        <w:numPr>
          <w:ilvl w:val="0"/>
          <w:numId w:val="3"/>
        </w:numPr>
        <w:tabs>
          <w:tab w:val="left" w:pos="1140"/>
        </w:tabs>
        <w:kinsoku/>
        <w:wordWrap/>
        <w:overflowPunct/>
        <w:topLinePunct w:val="0"/>
        <w:bidi w:val="0"/>
        <w:snapToGrid/>
        <w:spacing w:line="620" w:lineRule="exact"/>
        <w:ind w:left="0" w:firstLine="54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过渡期安排</w:t>
      </w:r>
    </w:p>
    <w:p w14:paraId="5608AF1E">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7.1</w:t>
      </w:r>
      <w:r>
        <w:rPr>
          <w:rFonts w:hint="eastAsia" w:ascii="仿宋_GB2312" w:hAnsi="仿宋_GB2312" w:eastAsia="仿宋_GB2312" w:cs="仿宋_GB2312"/>
          <w:sz w:val="28"/>
          <w:szCs w:val="28"/>
        </w:rPr>
        <w:t>本合同过渡期内，甲方对标的公司及其资产负有善良管理义务。甲方应保证和促使标的公司的正常经营，</w:t>
      </w:r>
      <w:r>
        <w:rPr>
          <w:rFonts w:hint="eastAsia" w:ascii="仿宋_GB2312" w:hAnsi="仿宋_GB2312" w:eastAsia="仿宋_GB2312" w:cs="仿宋_GB2312"/>
          <w:bCs/>
          <w:sz w:val="28"/>
          <w:szCs w:val="28"/>
        </w:rPr>
        <w:t>过渡期内标的公司出现的任何重大不利影响，甲方应及时通知乙方并作出妥善处理。</w:t>
      </w:r>
    </w:p>
    <w:p w14:paraId="5832C64C">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7.2本合同过渡期内，甲方及标的公司保证不得签署、变更、修改或终止一切与标的公司有关的任何合同和交易，不得使标的公司承担新负债或责任，不得转让或放弃权利，不得对标的公司的资产做任何处置。但标的公司进行正常经营的除外。</w:t>
      </w:r>
    </w:p>
    <w:p w14:paraId="26121ECB">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7.3除非甲方未尽足够的善良管理义务，标的公司有关资产的损益均由乙方承担。</w:t>
      </w:r>
    </w:p>
    <w:p w14:paraId="78598617">
      <w:pPr>
        <w:keepNext w:val="0"/>
        <w:keepLines w:val="0"/>
        <w:pageBreakBefore w:val="0"/>
        <w:numPr>
          <w:ilvl w:val="0"/>
          <w:numId w:val="3"/>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rPr>
        <w:t>股权转让费用的承担</w:t>
      </w:r>
    </w:p>
    <w:p w14:paraId="15660BF8">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本合同项下股权转让过程中所产生的股权转让费用，依照有关规定由甲、乙双方各自承担。</w:t>
      </w:r>
    </w:p>
    <w:p w14:paraId="19AA3025">
      <w:pPr>
        <w:keepNext w:val="0"/>
        <w:keepLines w:val="0"/>
        <w:pageBreakBefore w:val="0"/>
        <w:numPr>
          <w:ilvl w:val="0"/>
          <w:numId w:val="3"/>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职工安置方案（如需）</w:t>
      </w:r>
    </w:p>
    <w:p w14:paraId="2A5AA338">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9.1标的公司的职工情况：</w:t>
      </w:r>
    </w:p>
    <w:p w14:paraId="6828C40F">
      <w:pPr>
        <w:keepNext w:val="0"/>
        <w:keepLines w:val="0"/>
        <w:pageBreakBefore w:val="0"/>
        <w:tabs>
          <w:tab w:val="left" w:pos="0"/>
        </w:tabs>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9.2标的公司的职工由甲方依据《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（公司名称）职工安置方案》的规定负责妥善安置。</w:t>
      </w:r>
    </w:p>
    <w:p w14:paraId="3E150DF6">
      <w:pPr>
        <w:keepNext w:val="0"/>
        <w:keepLines w:val="0"/>
        <w:pageBreakBefore w:val="0"/>
        <w:kinsoku/>
        <w:wordWrap/>
        <w:overflowPunct/>
        <w:topLinePunct w:val="0"/>
        <w:bidi w:val="0"/>
        <w:snapToGrid/>
        <w:spacing w:line="620" w:lineRule="exact"/>
        <w:ind w:firstLine="630" w:firstLineChars="224"/>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 xml:space="preserve">第十条 </w:t>
      </w:r>
      <w:r>
        <w:rPr>
          <w:rFonts w:hint="eastAsia" w:ascii="仿宋_GB2312" w:hAnsi="仿宋_GB2312" w:eastAsia="仿宋_GB2312" w:cs="仿宋_GB2312"/>
          <w:b w:val="0"/>
          <w:bCs w:val="0"/>
          <w:sz w:val="28"/>
          <w:szCs w:val="28"/>
        </w:rPr>
        <w:t xml:space="preserve"> 债务处理方案</w:t>
      </w:r>
    </w:p>
    <w:p w14:paraId="4DF4BBD7">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10.1乙方受让股权后对原标的公司进行改建，标的公司法人资格存续的，原标的公司的债务仍由改建后的标的公司承担；债权人有异议的，由乙方承担责任。</w:t>
      </w:r>
    </w:p>
    <w:p w14:paraId="45403C59">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10.2乙方受让股权后将原标的公司并入本公司或其控制的其他公司，标的公司法人资格消亡的，原标的公司的债务全部由乙方承担。</w:t>
      </w:r>
    </w:p>
    <w:p w14:paraId="6323D81D">
      <w:pPr>
        <w:keepNext w:val="0"/>
        <w:keepLines w:val="0"/>
        <w:pageBreakBefore w:val="0"/>
        <w:kinsoku/>
        <w:wordWrap/>
        <w:overflowPunct/>
        <w:topLinePunct w:val="0"/>
        <w:bidi w:val="0"/>
        <w:snapToGrid/>
        <w:spacing w:line="620" w:lineRule="exact"/>
        <w:ind w:firstLine="630" w:firstLineChars="224"/>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第十一条 </w:t>
      </w:r>
      <w:r>
        <w:rPr>
          <w:rFonts w:hint="eastAsia" w:ascii="仿宋_GB2312" w:hAnsi="仿宋_GB2312" w:eastAsia="仿宋_GB2312" w:cs="仿宋_GB2312"/>
          <w:b w:val="0"/>
          <w:bCs w:val="0"/>
          <w:sz w:val="28"/>
          <w:szCs w:val="28"/>
        </w:rPr>
        <w:t xml:space="preserve"> 甲方的声明与保证</w:t>
      </w:r>
    </w:p>
    <w:p w14:paraId="0289D464">
      <w:pPr>
        <w:keepNext w:val="0"/>
        <w:keepLines w:val="0"/>
        <w:pageBreakBefore w:val="0"/>
        <w:tabs>
          <w:tab w:val="left" w:pos="1620"/>
        </w:tabs>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11.1甲方对本合同项下的转让标的拥有合法、有效和完整的处分权；</w:t>
      </w:r>
    </w:p>
    <w:p w14:paraId="142F3A02">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11.2为签订本合同之目的向乙方提交的各项证明文件及资料均为真实、准确、完整的；</w:t>
      </w:r>
    </w:p>
    <w:p w14:paraId="7215386D">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11.3签订本合同所需的包括但不限于授权、审批、公司内部决策等在内的一切手续均已合法有效取得，本合同成立和股权转让的前提条件均已满足；</w:t>
      </w:r>
    </w:p>
    <w:p w14:paraId="3D9F1635">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11.4转让标的未设置任何可能影响股权转让的担保或限制。</w:t>
      </w:r>
    </w:p>
    <w:p w14:paraId="74BB9842">
      <w:pPr>
        <w:keepNext w:val="0"/>
        <w:keepLines w:val="0"/>
        <w:pageBreakBefore w:val="0"/>
        <w:kinsoku/>
        <w:wordWrap/>
        <w:overflowPunct/>
        <w:topLinePunct w:val="0"/>
        <w:bidi w:val="0"/>
        <w:snapToGrid/>
        <w:spacing w:line="620" w:lineRule="exact"/>
        <w:ind w:firstLine="630" w:firstLineChars="224"/>
        <w:textAlignment w:val="auto"/>
        <w:rPr>
          <w:rFonts w:hint="eastAsia" w:ascii="仿宋_GB2312" w:hAnsi="仿宋_GB2312" w:eastAsia="仿宋_GB2312" w:cs="仿宋_GB2312"/>
          <w:b/>
          <w:bCs/>
          <w:sz w:val="28"/>
          <w:szCs w:val="28"/>
        </w:rPr>
      </w:pPr>
    </w:p>
    <w:p w14:paraId="2F3B9024">
      <w:pPr>
        <w:keepNext w:val="0"/>
        <w:keepLines w:val="0"/>
        <w:pageBreakBefore w:val="0"/>
        <w:kinsoku/>
        <w:wordWrap/>
        <w:overflowPunct/>
        <w:topLinePunct w:val="0"/>
        <w:bidi w:val="0"/>
        <w:snapToGrid/>
        <w:spacing w:line="620" w:lineRule="exact"/>
        <w:ind w:firstLine="630" w:firstLineChars="224"/>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第十二条  </w:t>
      </w:r>
      <w:r>
        <w:rPr>
          <w:rFonts w:hint="eastAsia" w:ascii="仿宋_GB2312" w:hAnsi="仿宋_GB2312" w:eastAsia="仿宋_GB2312" w:cs="仿宋_GB2312"/>
          <w:b w:val="0"/>
          <w:bCs w:val="0"/>
          <w:sz w:val="28"/>
          <w:szCs w:val="28"/>
        </w:rPr>
        <w:t>乙方的声明与保证</w:t>
      </w:r>
    </w:p>
    <w:p w14:paraId="5F4DBEEA">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12.1乙方受让本合同项下转让标的符合法律、法规的规定，并不违背中国境内的产业政策；</w:t>
      </w:r>
    </w:p>
    <w:p w14:paraId="4F8767A8">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12.2为签订本合同之目的向甲方所提交的各项证明文件及资料均为真实、准确、完整的；</w:t>
      </w:r>
    </w:p>
    <w:p w14:paraId="3AB718EF">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12.3签订本合同所需的包括但不限于授权、审批、公司内部决策等在内的一切批准手续均已合法有效取得，本合同成立和受让股权的前提条件均已满足。</w:t>
      </w:r>
    </w:p>
    <w:p w14:paraId="317A5AB4">
      <w:pPr>
        <w:keepNext w:val="0"/>
        <w:keepLines w:val="0"/>
        <w:pageBreakBefore w:val="0"/>
        <w:kinsoku/>
        <w:wordWrap/>
        <w:overflowPunct/>
        <w:topLinePunct w:val="0"/>
        <w:bidi w:val="0"/>
        <w:snapToGrid/>
        <w:spacing w:line="620" w:lineRule="exact"/>
        <w:ind w:firstLine="630" w:firstLineChars="224"/>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第十三条  </w:t>
      </w:r>
      <w:r>
        <w:rPr>
          <w:rFonts w:hint="eastAsia" w:ascii="仿宋_GB2312" w:hAnsi="仿宋_GB2312" w:eastAsia="仿宋_GB2312" w:cs="仿宋_GB2312"/>
          <w:b w:val="0"/>
          <w:bCs w:val="0"/>
          <w:sz w:val="28"/>
          <w:szCs w:val="28"/>
        </w:rPr>
        <w:t>违约责任</w:t>
      </w:r>
    </w:p>
    <w:p w14:paraId="47B7994A">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13.1本合同生效后，任何一方无故提出终止合同，均应按照本合同转让价款的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%向对方一次性支付违约金，给对方造成损失的，还应承担赔偿责任。</w:t>
      </w:r>
    </w:p>
    <w:p w14:paraId="4029ECD0">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13.2乙方未按合同约定期限支付转让价款的，应向甲方支付逾期付款违约金。违约金按照延迟支付期间应付价款的每日万分之</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计算。逾期付款超过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日，甲方有权解除合同，要求乙方按照本合同转让价款的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%承担违约责任，并要求乙方承担甲方及标的公司因此遭受的损失。</w:t>
      </w:r>
    </w:p>
    <w:p w14:paraId="0B1A04B4">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13.3甲方未按本合同约定交割转让标的的，乙方有权解除本合同，并要求甲方按照本合同转让价款的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%向乙方支付违约金。</w:t>
      </w:r>
    </w:p>
    <w:p w14:paraId="6B10FB7D">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13.4标的公司的资产、债务等存在重大事项未披露或存在遗漏，对标的公司可能造成重大不利影响，或可能影响股权转让价格的，乙方有权解除合同，并要求甲方按照本合同转让价款的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%承担违约责任。</w:t>
      </w:r>
    </w:p>
    <w:p w14:paraId="26E358AF">
      <w:pPr>
        <w:keepNext w:val="0"/>
        <w:keepLines w:val="0"/>
        <w:pageBreakBefore w:val="0"/>
        <w:kinsoku/>
        <w:wordWrap/>
        <w:overflowPunct/>
        <w:topLinePunct w:val="0"/>
        <w:bidi w:val="0"/>
        <w:snapToGrid/>
        <w:spacing w:line="620" w:lineRule="exact"/>
        <w:ind w:firstLine="627" w:firstLineChars="2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乙方不解除合同的，有权要求甲方就有关事项进行补偿。补偿金额应相当于上述未披露或遗漏的资产、债务等事项可能导致的标的公司的损失数额。</w:t>
      </w:r>
    </w:p>
    <w:p w14:paraId="607DA789">
      <w:pPr>
        <w:keepNext w:val="0"/>
        <w:keepLines w:val="0"/>
        <w:pageBreakBefore w:val="0"/>
        <w:kinsoku/>
        <w:wordWrap/>
        <w:overflowPunct/>
        <w:topLinePunct w:val="0"/>
        <w:bidi w:val="0"/>
        <w:snapToGrid/>
        <w:spacing w:line="6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第十四条  </w:t>
      </w:r>
      <w:r>
        <w:rPr>
          <w:rFonts w:hint="eastAsia" w:ascii="仿宋_GB2312" w:hAnsi="仿宋_GB2312" w:eastAsia="仿宋_GB2312" w:cs="仿宋_GB2312"/>
          <w:b w:val="0"/>
          <w:bCs w:val="0"/>
          <w:sz w:val="28"/>
          <w:szCs w:val="28"/>
        </w:rPr>
        <w:t>合同的变更和解除</w:t>
      </w:r>
    </w:p>
    <w:p w14:paraId="01A4F6DE">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14.1当事人双方协商一致，可以变更或解除本合同。</w:t>
      </w:r>
    </w:p>
    <w:p w14:paraId="2C4838A2">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14.2发生下列情况之一时，一方可以解除本合同。</w:t>
      </w:r>
    </w:p>
    <w:p w14:paraId="2847D884">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（1）由于不可抗力或不可归责于双方的原因致使本合同的目的无法实现的；</w:t>
      </w:r>
    </w:p>
    <w:p w14:paraId="7F2098CB">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（2）另一方丧失实际履约能力的；</w:t>
      </w:r>
    </w:p>
    <w:p w14:paraId="3B796CFB">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（3）另一方严重违约致使不能实现合同目的的；</w:t>
      </w:r>
    </w:p>
    <w:p w14:paraId="79590C22">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（4）另一方出现本合同第十三条所述违约情形的。</w:t>
      </w:r>
    </w:p>
    <w:p w14:paraId="0F4BE208">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14.3变更或解除本合同均应采用书面形式。</w:t>
      </w:r>
    </w:p>
    <w:p w14:paraId="7FE6BCA5">
      <w:pPr>
        <w:keepNext w:val="0"/>
        <w:keepLines w:val="0"/>
        <w:pageBreakBefore w:val="0"/>
        <w:kinsoku/>
        <w:wordWrap/>
        <w:overflowPunct/>
        <w:topLinePunct w:val="0"/>
        <w:bidi w:val="0"/>
        <w:snapToGrid/>
        <w:spacing w:line="6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第十五条 </w:t>
      </w:r>
      <w:r>
        <w:rPr>
          <w:rFonts w:hint="eastAsia" w:ascii="仿宋_GB2312" w:hAnsi="仿宋_GB2312" w:eastAsia="仿宋_GB2312" w:cs="仿宋_GB2312"/>
          <w:b w:val="0"/>
          <w:bCs w:val="0"/>
          <w:sz w:val="28"/>
          <w:szCs w:val="28"/>
        </w:rPr>
        <w:t xml:space="preserve"> 管辖及争议解决方式</w:t>
      </w:r>
    </w:p>
    <w:p w14:paraId="74104EFD">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15.1本合同及股权转让中的行为均适用中华人民共和国法律。</w:t>
      </w:r>
    </w:p>
    <w:p w14:paraId="13D2C802">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560" w:firstLineChars="20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sz w:val="28"/>
          <w:szCs w:val="28"/>
        </w:rPr>
        <w:t>15.2</w:t>
      </w:r>
      <w:r>
        <w:rPr>
          <w:rFonts w:hint="eastAsia" w:ascii="仿宋_GB2312" w:hAnsi="仿宋_GB2312" w:eastAsia="仿宋_GB2312" w:cs="仿宋_GB2312"/>
          <w:sz w:val="28"/>
          <w:szCs w:val="28"/>
          <w:u w:val="single"/>
        </w:rPr>
        <w:t>因本合同引起的或与本合同有关的任何争议，</w:t>
      </w:r>
      <w:r>
        <w:rPr>
          <w:rFonts w:hint="eastAsia" w:ascii="仿宋_GB2312" w:hAnsi="仿宋_GB2312" w:eastAsia="仿宋_GB2312" w:cs="仿宋_GB2312"/>
          <w:b/>
          <w:bCs/>
          <w:sz w:val="28"/>
          <w:szCs w:val="28"/>
          <w:u w:val="single"/>
        </w:rPr>
        <w:t>均提请绵阳仲裁委员会按照该会仲裁规则进行仲裁</w:t>
      </w:r>
      <w:r>
        <w:rPr>
          <w:rFonts w:hint="eastAsia" w:ascii="仿宋_GB2312" w:hAnsi="仿宋_GB2312" w:eastAsia="仿宋_GB2312" w:cs="仿宋_GB2312"/>
          <w:sz w:val="28"/>
          <w:szCs w:val="28"/>
          <w:u w:val="single"/>
        </w:rPr>
        <w:t>。仲裁裁决是终局的，对双方均有约束力。</w:t>
      </w:r>
    </w:p>
    <w:p w14:paraId="429D468F">
      <w:pPr>
        <w:keepNext w:val="0"/>
        <w:keepLines w:val="0"/>
        <w:pageBreakBefore w:val="0"/>
        <w:kinsoku/>
        <w:wordWrap/>
        <w:overflowPunct/>
        <w:topLinePunct w:val="0"/>
        <w:bidi w:val="0"/>
        <w:snapToGrid/>
        <w:spacing w:line="6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第十六条 </w:t>
      </w:r>
      <w:r>
        <w:rPr>
          <w:rFonts w:hint="eastAsia" w:ascii="仿宋_GB2312" w:hAnsi="仿宋_GB2312" w:eastAsia="仿宋_GB2312" w:cs="仿宋_GB2312"/>
          <w:b w:val="0"/>
          <w:bCs w:val="0"/>
          <w:sz w:val="28"/>
          <w:szCs w:val="28"/>
        </w:rPr>
        <w:t xml:space="preserve"> 合同的生效</w:t>
      </w:r>
    </w:p>
    <w:p w14:paraId="767CF84E">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本合同自甲乙双方签字或盖章之日起生效。</w:t>
      </w:r>
    </w:p>
    <w:p w14:paraId="6D5941B8">
      <w:pPr>
        <w:keepNext w:val="0"/>
        <w:keepLines w:val="0"/>
        <w:pageBreakBefore w:val="0"/>
        <w:kinsoku/>
        <w:wordWrap/>
        <w:overflowPunct/>
        <w:topLinePunct w:val="0"/>
        <w:bidi w:val="0"/>
        <w:snapToGrid/>
        <w:spacing w:line="6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第十七条  </w:t>
      </w:r>
      <w:r>
        <w:rPr>
          <w:rFonts w:hint="eastAsia" w:ascii="仿宋_GB2312" w:hAnsi="仿宋_GB2312" w:eastAsia="仿宋_GB2312" w:cs="仿宋_GB2312"/>
          <w:b w:val="0"/>
          <w:bCs w:val="0"/>
          <w:sz w:val="28"/>
          <w:szCs w:val="28"/>
        </w:rPr>
        <w:t>其他</w:t>
      </w:r>
    </w:p>
    <w:p w14:paraId="0061DC6A">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17.1双方对本合同内容的变更或补充应采用书面形式订立，并作为本合同的附件。本合同的附件与本合同具有同等的法律效力。</w:t>
      </w:r>
    </w:p>
    <w:p w14:paraId="5120AF2E">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17.2送达方式及送达地址条款</w:t>
      </w:r>
    </w:p>
    <w:p w14:paraId="6C4DAF7C">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合同签订人所填写的地址信息，将作为通知、信件、律师函、法院文书、仲裁文书等一切书面文件的送达地址。若该地址送达的相关文件未成功签收，则文件退回之日视为送达之日。</w:t>
      </w:r>
    </w:p>
    <w:p w14:paraId="2E529589">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双方确认的送达地址如下：</w:t>
      </w:r>
    </w:p>
    <w:p w14:paraId="214F3D84">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甲方地址：</w:t>
      </w:r>
    </w:p>
    <w:p w14:paraId="6AA8F709">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邮政编码：</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收件人：</w:t>
      </w:r>
    </w:p>
    <w:p w14:paraId="316784ED">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手机号码：</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电子邮箱：</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微信号：</w:t>
      </w:r>
    </w:p>
    <w:p w14:paraId="7A6237FE">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乙方地址：</w:t>
      </w:r>
    </w:p>
    <w:p w14:paraId="17C04701">
      <w:pPr>
        <w:autoSpaceDE w:val="0"/>
        <w:autoSpaceDN w:val="0"/>
        <w:adjustRightInd w:val="0"/>
        <w:spacing w:line="480" w:lineRule="auto"/>
        <w:ind w:firstLine="560" w:firstLineChars="20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邮政编码：</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收件人：</w:t>
      </w:r>
    </w:p>
    <w:p w14:paraId="4299D3F2">
      <w:pPr>
        <w:autoSpaceDE w:val="0"/>
        <w:autoSpaceDN w:val="0"/>
        <w:adjustRightInd w:val="0"/>
        <w:spacing w:line="480" w:lineRule="auto"/>
        <w:ind w:firstLine="560" w:firstLineChars="20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val="0"/>
          <w:bCs w:val="0"/>
          <w:kern w:val="0"/>
          <w:sz w:val="28"/>
          <w:szCs w:val="28"/>
          <w:lang w:val="zh-CN"/>
        </w:rPr>
        <w:t>手机号码：</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电子邮箱：</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val="zh-CN"/>
        </w:rPr>
        <w:t>微信号：</w:t>
      </w:r>
    </w:p>
    <w:p w14:paraId="434A0BE3">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份，甲、乙双方各执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w:t>
      </w:r>
    </w:p>
    <w:p w14:paraId="4E91300C">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p>
    <w:p w14:paraId="74250643">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转让方（甲方）：               受让方（乙方）：</w:t>
      </w:r>
    </w:p>
    <w:p w14:paraId="0C7F6241">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p>
    <w:p w14:paraId="2D8E260D">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p>
    <w:p w14:paraId="5C0C7B4C">
      <w:pPr>
        <w:keepNext w:val="0"/>
        <w:keepLines w:val="0"/>
        <w:pageBreakBefore w:val="0"/>
        <w:kinsoku/>
        <w:wordWrap/>
        <w:overflowPunct/>
        <w:topLinePunct w:val="0"/>
        <w:bidi w:val="0"/>
        <w:snapToGrid/>
        <w:spacing w:line="620" w:lineRule="exact"/>
        <w:ind w:firstLine="42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（盖章）                       （盖章）</w:t>
      </w:r>
      <w:r>
        <w:rPr>
          <w:rFonts w:hint="eastAsia" w:ascii="仿宋_GB2312" w:hAnsi="仿宋_GB2312" w:eastAsia="仿宋_GB2312" w:cs="仿宋_GB2312"/>
          <w:sz w:val="28"/>
          <w:szCs w:val="28"/>
          <w:lang w:val="en-US" w:eastAsia="zh-CN"/>
        </w:rPr>
        <w:t xml:space="preserve">                      </w:t>
      </w:r>
    </w:p>
    <w:p w14:paraId="34B1FF3F">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p>
    <w:p w14:paraId="6793D457">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5A2BFF7E">
      <w:pPr>
        <w:keepNext w:val="0"/>
        <w:keepLines w:val="0"/>
        <w:pageBreakBefore w:val="0"/>
        <w:kinsoku/>
        <w:wordWrap/>
        <w:overflowPunct/>
        <w:topLinePunct w:val="0"/>
        <w:bidi w:val="0"/>
        <w:snapToGrid/>
        <w:spacing w:line="620" w:lineRule="exact"/>
        <w:ind w:firstLine="42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或授权代表（签字）：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或授权代表（签字）：</w:t>
      </w:r>
      <w:r>
        <w:rPr>
          <w:rFonts w:hint="eastAsia" w:ascii="仿宋_GB2312" w:hAnsi="仿宋_GB2312" w:eastAsia="仿宋_GB2312" w:cs="仿宋_GB2312"/>
          <w:sz w:val="28"/>
          <w:szCs w:val="28"/>
          <w:lang w:val="en-US" w:eastAsia="zh-CN"/>
        </w:rPr>
        <w:t xml:space="preserve">          </w:t>
      </w:r>
    </w:p>
    <w:p w14:paraId="0048CC85">
      <w:pPr>
        <w:keepNext w:val="0"/>
        <w:keepLines w:val="0"/>
        <w:pageBreakBefore w:val="0"/>
        <w:kinsoku/>
        <w:wordWrap/>
        <w:overflowPunct/>
        <w:topLinePunct w:val="0"/>
        <w:bidi w:val="0"/>
        <w:snapToGrid/>
        <w:spacing w:line="620" w:lineRule="exact"/>
        <w:textAlignment w:val="auto"/>
        <w:rPr>
          <w:rFonts w:hint="eastAsia" w:ascii="仿宋_GB2312" w:hAnsi="仿宋_GB2312" w:eastAsia="仿宋_GB2312" w:cs="仿宋_GB2312"/>
          <w:sz w:val="28"/>
          <w:szCs w:val="28"/>
        </w:rPr>
      </w:pPr>
    </w:p>
    <w:p w14:paraId="450288FB">
      <w:pPr>
        <w:keepNext w:val="0"/>
        <w:keepLines w:val="0"/>
        <w:pageBreakBefore w:val="0"/>
        <w:kinsoku/>
        <w:wordWrap/>
        <w:overflowPunct/>
        <w:topLinePunct w:val="0"/>
        <w:bidi w:val="0"/>
        <w:snapToGrid/>
        <w:spacing w:line="620" w:lineRule="exact"/>
        <w:ind w:firstLine="42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签约地点：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签约地点：</w:t>
      </w:r>
      <w:r>
        <w:rPr>
          <w:rFonts w:hint="eastAsia" w:ascii="仿宋_GB2312" w:hAnsi="仿宋_GB2312" w:eastAsia="仿宋_GB2312" w:cs="仿宋_GB2312"/>
          <w:sz w:val="28"/>
          <w:szCs w:val="28"/>
          <w:lang w:val="en-US" w:eastAsia="zh-CN"/>
        </w:rPr>
        <w:t xml:space="preserve">                 </w:t>
      </w:r>
    </w:p>
    <w:p w14:paraId="1F2E3DF7">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签约时间：    年    月   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签约时间：    年  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p w14:paraId="6BFE561E">
      <w:pPr>
        <w:keepNext w:val="0"/>
        <w:keepLines w:val="0"/>
        <w:pageBreakBefore w:val="0"/>
        <w:kinsoku/>
        <w:wordWrap/>
        <w:overflowPunct/>
        <w:topLinePunct w:val="0"/>
        <w:bidi w:val="0"/>
        <w:snapToGrid/>
        <w:spacing w:line="620" w:lineRule="exact"/>
        <w:ind w:firstLine="420"/>
        <w:textAlignment w:val="auto"/>
        <w:rPr>
          <w:rFonts w:hint="default" w:ascii="仿宋_GB2312" w:hAnsi="仿宋_GB2312" w:eastAsia="仿宋_GB2312" w:cs="仿宋_GB2312"/>
          <w:sz w:val="28"/>
          <w:szCs w:val="28"/>
          <w:lang w:val="en-US" w:eastAsia="zh-CN"/>
        </w:rPr>
      </w:pPr>
    </w:p>
    <w:p w14:paraId="7BE8918C">
      <w:pPr>
        <w:autoSpaceDE w:val="0"/>
        <w:autoSpaceDN w:val="0"/>
        <w:adjustRightInd w:val="0"/>
        <w:spacing w:line="480" w:lineRule="auto"/>
        <w:jc w:val="both"/>
        <w:rPr>
          <w:rFonts w:hint="eastAsia" w:ascii="仿宋_GB2312" w:hAnsi="仿宋_GB2312" w:eastAsia="仿宋_GB2312" w:cs="仿宋_GB2312"/>
          <w:kern w:val="0"/>
          <w:sz w:val="32"/>
          <w:szCs w:val="32"/>
          <w:lang w:val="en-US" w:eastAsia="zh-CN"/>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DE0640-2322-405A-9BBA-97E97B4F31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7F9A32-FFB8-40D8-B80D-DD3A8AE09473}"/>
  </w:font>
  <w:font w:name="仿宋_GB2312">
    <w:panose1 w:val="02010609030101010101"/>
    <w:charset w:val="86"/>
    <w:family w:val="auto"/>
    <w:pitch w:val="default"/>
    <w:sig w:usb0="00000001" w:usb1="080E0000" w:usb2="00000000" w:usb3="00000000" w:csb0="00040000" w:csb1="00000000"/>
    <w:embedRegular r:id="rId3" w:fontKey="{C8E6ACF0-B0F6-4F21-A2C9-14B6A2C6D0A1}"/>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0D7F">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7795"/>
              <wp:effectExtent l="0" t="0" r="0" b="0"/>
              <wp:wrapNone/>
              <wp:docPr id="2"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a:effectLst/>
                    </wps:spPr>
                    <wps:txbx>
                      <w:txbxContent>
                        <w:p w14:paraId="5CFFCB9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85pt;width:5.05pt;mso-position-horizontal:center;mso-position-horizontal-relative:margin;mso-wrap-style:none;z-index:251659264;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DvQfXINgIAAGAEAAAOAAAAZHJzL2Uyb0RvYy54bWytVM2O0zAQviPx&#10;DpbvNO2W7kLVdFW2KkJasSsVxNl1nCaS/2S7TcoDwBtw2gt3nqvPwWen6aKFwx64OGPP+Bt/38xk&#10;dt0qSfbC+dronI4GQ0qE5qao9Tannz+tXr2hxAemCyaNFjk9CE+v5y9fzBo7FRemMrIQjgBE+2lj&#10;c1qFYKdZ5nklFPMDY4WGszROsYCt22aFYw3QlcwuhsPLrDGusM5w4T1Ol52TnhDdcwBNWdZcLA3f&#10;KaFDh+qEZAGUfFVbT+fptWUpeLgrSy8CkTkF05BWJIG9iWs2n7Hp1jFb1fz0BPacJzzhpFitkfQM&#10;tWSBkZ2r/4JSNXfGmzIMuFFZRyQpAhaj4RNt1hWzInGB1N6eRff/D5Z/3N87Uhc5vaBEM4WCH398&#10;Pz78Ov78RkZRnsb6KaLWFnGhfWdaNE1/7nEYWbelU/ELPgR+iHs4iyvaQDgOL1+PxhNKODyj8dXV&#10;20kEyR7vWufDe2EUiUZOHUqXFGX7Wx+60D4kptJmVUuZyic1aYA/ngzThbMH4FLHWJEa4QQT+XTv&#10;jlZoN+2J5MYUB3B0pmsSb/mqxlNumQ/3zKErQAtzE+6wlNIgpTlZlFTGff3XeYxHseClpEGX5VRj&#10;qCiRHzSKGBuyN1xvbHpD79SNQduOMI+WJxMXXJC9WTqjvmCYFjEHXExzZMpp6M2b0HU6hpGLxSIF&#10;oe0sC7d6bXmEjvJ4u9gFyJlUjqJ0SqA6cYPGS3U6DUns7D/3Kerxx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sPqR3RAAAAAwEAAA8AAAAAAAAAAQAgAAAAIgAAAGRycy9kb3ducmV2LnhtbFBL&#10;AQIUABQAAAAIAIdO4kDvQfXINgIAAGAEAAAOAAAAAAAAAAEAIAAAACABAABkcnMvZTJvRG9jLnht&#10;bFBLBQYAAAAABgAGAFkBAADIBQAAAAA=&#10;">
              <v:fill on="f" focussize="0,0"/>
              <v:stroke on="f" weight="0.5pt"/>
              <v:imagedata o:title=""/>
              <o:lock v:ext="edit" aspectratio="f"/>
              <v:textbox inset="0mm,0mm,0mm,0mm" style="mso-fit-shape-to-text:t;">
                <w:txbxContent>
                  <w:p w14:paraId="5CFFCB9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AFF3">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719C1"/>
    <w:multiLevelType w:val="multilevel"/>
    <w:tmpl w:val="109719C1"/>
    <w:lvl w:ilvl="0" w:tentative="0">
      <w:start w:val="1"/>
      <w:numFmt w:val="chineseCountingThousand"/>
      <w:pStyle w:val="3"/>
      <w:lvlText w:val="第%1条"/>
      <w:lvlJc w:val="left"/>
      <w:pPr>
        <w:ind w:left="2100" w:hanging="420"/>
      </w:pPr>
      <w:rPr>
        <w:rFonts w:hint="eastAsia" w:ascii="仿宋_GB2312" w:hAnsi="仿宋_GB2312" w:eastAsia="仿宋_GB2312" w:cs="仿宋_GB2312"/>
        <w:b/>
        <w:i w:val="0"/>
        <w:spacing w:val="0"/>
        <w:sz w:val="32"/>
        <w:szCs w:val="32"/>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1">
    <w:nsid w:val="25F15770"/>
    <w:multiLevelType w:val="multilevel"/>
    <w:tmpl w:val="25F15770"/>
    <w:lvl w:ilvl="0" w:tentative="0">
      <w:start w:val="1"/>
      <w:numFmt w:val="koreanDigital2"/>
      <w:pStyle w:val="20"/>
      <w:suff w:val="space"/>
      <w:lvlText w:val="第%1条"/>
      <w:lvlJc w:val="left"/>
      <w:pPr>
        <w:ind w:left="0" w:firstLine="0"/>
      </w:pPr>
      <w:rPr>
        <w:rFonts w:hint="eastAsia" w:ascii="宋体" w:hAnsi="宋体"/>
        <w:b/>
        <w:i w:val="0"/>
        <w:caps/>
        <w:smallCaps w:val="0"/>
        <w:strike w:val="0"/>
        <w:dstrike w:val="0"/>
        <w:outline w:val="0"/>
        <w:shadow w:val="0"/>
        <w:emboss w:val="0"/>
        <w:imprint w:val="0"/>
        <w:vanish w:val="0"/>
        <w:sz w:val="24"/>
        <w:szCs w:val="24"/>
        <w:u w:val="none"/>
        <w:vertAlign w:val="baseline"/>
      </w:rPr>
    </w:lvl>
    <w:lvl w:ilvl="1" w:tentative="0">
      <w:start w:val="1"/>
      <w:numFmt w:val="decimalZero"/>
      <w:pStyle w:val="19"/>
      <w:isLgl/>
      <w:lvlText w:val="%1.%2"/>
      <w:lvlJc w:val="left"/>
      <w:pPr>
        <w:tabs>
          <w:tab w:val="left" w:pos="720"/>
        </w:tabs>
        <w:ind w:left="0" w:firstLine="1440"/>
      </w:pPr>
      <w:rPr>
        <w:rFonts w:hint="default"/>
        <w:b w:val="0"/>
        <w:i w:val="0"/>
        <w:caps w:val="0"/>
        <w:strike w:val="0"/>
        <w:dstrike w:val="0"/>
        <w:outline w:val="0"/>
        <w:shadow w:val="0"/>
        <w:emboss w:val="0"/>
        <w:imprint w:val="0"/>
        <w:vanish w:val="0"/>
        <w:u w:val="none"/>
        <w:vertAlign w:val="baseline"/>
      </w:rPr>
    </w:lvl>
    <w:lvl w:ilvl="2" w:tentative="0">
      <w:start w:val="1"/>
      <w:numFmt w:val="lowerLetter"/>
      <w:pStyle w:val="18"/>
      <w:lvlText w:val="(%3)"/>
      <w:lvlJc w:val="left"/>
      <w:pPr>
        <w:tabs>
          <w:tab w:val="left" w:pos="1440"/>
        </w:tabs>
        <w:ind w:left="0" w:firstLine="720"/>
      </w:pPr>
      <w:rPr>
        <w:rFonts w:hint="default"/>
        <w:b w:val="0"/>
        <w:i w:val="0"/>
        <w:caps w:val="0"/>
        <w:strike w:val="0"/>
        <w:dstrike w:val="0"/>
        <w:outline w:val="0"/>
        <w:shadow w:val="0"/>
        <w:emboss w:val="0"/>
        <w:imprint w:val="0"/>
        <w:vanish w:val="0"/>
        <w:u w:val="none"/>
        <w:vertAlign w:val="baseline"/>
      </w:rPr>
    </w:lvl>
    <w:lvl w:ilvl="3" w:tentative="0">
      <w:start w:val="1"/>
      <w:numFmt w:val="lowerRoman"/>
      <w:lvlText w:val="(%4)"/>
      <w:lvlJc w:val="left"/>
      <w:pPr>
        <w:tabs>
          <w:tab w:val="left" w:pos="2160"/>
        </w:tabs>
        <w:ind w:left="720" w:firstLine="720"/>
      </w:pPr>
      <w:rPr>
        <w:rFonts w:hint="default"/>
        <w:b w:val="0"/>
        <w:i w:val="0"/>
        <w:caps w:val="0"/>
        <w:strike w:val="0"/>
        <w:dstrike w:val="0"/>
        <w:outline w:val="0"/>
        <w:shadow w:val="0"/>
        <w:emboss w:val="0"/>
        <w:imprint w:val="0"/>
        <w:vanish w:val="0"/>
        <w:u w:val="none"/>
        <w:vertAlign w:val="baseline"/>
      </w:rPr>
    </w:lvl>
    <w:lvl w:ilvl="4" w:tentative="0">
      <w:start w:val="1"/>
      <w:numFmt w:val="ordinalText"/>
      <w:suff w:val="space"/>
      <w:lvlText w:val="%5:"/>
      <w:lvlJc w:val="left"/>
      <w:pPr>
        <w:ind w:left="720" w:firstLine="720"/>
      </w:pPr>
      <w:rPr>
        <w:rFonts w:hint="default"/>
        <w:b w:val="0"/>
        <w:i w:val="0"/>
        <w:caps w:val="0"/>
        <w:strike w:val="0"/>
        <w:dstrike w:val="0"/>
        <w:outline w:val="0"/>
        <w:shadow w:val="0"/>
        <w:emboss w:val="0"/>
        <w:imprint w:val="0"/>
        <w:vanish w:val="0"/>
        <w:u w:val="none"/>
        <w:vertAlign w:val="baseline"/>
      </w:rPr>
    </w:lvl>
    <w:lvl w:ilvl="5"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6"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7"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8"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abstractNum>
  <w:abstractNum w:abstractNumId="2">
    <w:nsid w:val="784258B4"/>
    <w:multiLevelType w:val="multilevel"/>
    <w:tmpl w:val="784258B4"/>
    <w:lvl w:ilvl="0" w:tentative="0">
      <w:start w:val="1"/>
      <w:numFmt w:val="japaneseCounting"/>
      <w:lvlText w:val="第%1条"/>
      <w:lvlJc w:val="left"/>
      <w:pPr>
        <w:tabs>
          <w:tab w:val="left" w:pos="720"/>
        </w:tabs>
        <w:ind w:left="720" w:hanging="720"/>
      </w:pPr>
      <w:rPr>
        <w:rFonts w:hint="eastAsia"/>
        <w:b/>
      </w:rPr>
    </w:lvl>
    <w:lvl w:ilvl="1" w:tentative="0">
      <w:start w:val="1"/>
      <w:numFmt w:val="decimal"/>
      <w:lvlText w:val="%1.%2"/>
      <w:lvlJc w:val="left"/>
      <w:pPr>
        <w:tabs>
          <w:tab w:val="left" w:pos="1620"/>
        </w:tabs>
        <w:ind w:left="1620" w:hanging="360"/>
      </w:pPr>
      <w:rPr>
        <w:rFonts w:ascii="Times New Roman" w:hAnsi="Times New Roman" w:eastAsia="Times New Roman" w:cs="Times New Roman"/>
      </w:rPr>
    </w:lvl>
    <w:lvl w:ilvl="2" w:tentative="0">
      <w:start w:val="1"/>
      <w:numFmt w:val="decimal"/>
      <w:lvlText w:val="（%3）"/>
      <w:lvlJc w:val="left"/>
      <w:pPr>
        <w:tabs>
          <w:tab w:val="left" w:pos="1980"/>
        </w:tabs>
        <w:ind w:left="1980" w:hanging="720"/>
      </w:pPr>
      <w:rPr>
        <w:rFonts w:hint="eastAsia"/>
      </w:rPr>
    </w:lvl>
    <w:lvl w:ilvl="3" w:tentative="0">
      <w:start w:val="1"/>
      <w:numFmt w:val="decimal"/>
      <w:lvlText w:val="%4．"/>
      <w:lvlJc w:val="left"/>
      <w:pPr>
        <w:tabs>
          <w:tab w:val="left" w:pos="2040"/>
        </w:tabs>
        <w:ind w:left="2040" w:hanging="3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2Q1ZTIyZWIwNTA4NWYxN2I1MWU5YWY4NjUzYTQifQ=="/>
  </w:docVars>
  <w:rsids>
    <w:rsidRoot w:val="00000000"/>
    <w:rsid w:val="021707C9"/>
    <w:rsid w:val="053C65AA"/>
    <w:rsid w:val="060F6A8E"/>
    <w:rsid w:val="06936126"/>
    <w:rsid w:val="069B1C9A"/>
    <w:rsid w:val="0EBFC2B8"/>
    <w:rsid w:val="1075198D"/>
    <w:rsid w:val="12E84DC5"/>
    <w:rsid w:val="17592D5E"/>
    <w:rsid w:val="1DCF52D0"/>
    <w:rsid w:val="1E7B7D44"/>
    <w:rsid w:val="1ED78AD6"/>
    <w:rsid w:val="23B83994"/>
    <w:rsid w:val="325B713F"/>
    <w:rsid w:val="34016277"/>
    <w:rsid w:val="36A336D8"/>
    <w:rsid w:val="36EF0171"/>
    <w:rsid w:val="3A623A31"/>
    <w:rsid w:val="3A7727CA"/>
    <w:rsid w:val="3BF15DDB"/>
    <w:rsid w:val="3C902F79"/>
    <w:rsid w:val="3CFD34D0"/>
    <w:rsid w:val="3DFE50BC"/>
    <w:rsid w:val="42835182"/>
    <w:rsid w:val="44718977"/>
    <w:rsid w:val="474B2E9D"/>
    <w:rsid w:val="55602AB3"/>
    <w:rsid w:val="5764913D"/>
    <w:rsid w:val="5AEF0987"/>
    <w:rsid w:val="5BBF73C8"/>
    <w:rsid w:val="5DBF45CB"/>
    <w:rsid w:val="5F6D396D"/>
    <w:rsid w:val="5FDBD2FF"/>
    <w:rsid w:val="604055D4"/>
    <w:rsid w:val="61C00B9C"/>
    <w:rsid w:val="662326FA"/>
    <w:rsid w:val="677606AD"/>
    <w:rsid w:val="692900DA"/>
    <w:rsid w:val="731F21F5"/>
    <w:rsid w:val="737643B8"/>
    <w:rsid w:val="766F6AC6"/>
    <w:rsid w:val="77DEE5F9"/>
    <w:rsid w:val="79D46408"/>
    <w:rsid w:val="7AFF07F3"/>
    <w:rsid w:val="7BEFED62"/>
    <w:rsid w:val="7E2E2D18"/>
    <w:rsid w:val="7EED255C"/>
    <w:rsid w:val="7FE714EB"/>
    <w:rsid w:val="7FFD66D7"/>
    <w:rsid w:val="8BF84F95"/>
    <w:rsid w:val="9FDF85C8"/>
    <w:rsid w:val="A8AF4BD0"/>
    <w:rsid w:val="ADB7239D"/>
    <w:rsid w:val="BB3421B3"/>
    <w:rsid w:val="BBBF7208"/>
    <w:rsid w:val="BF3E2632"/>
    <w:rsid w:val="D377ABBC"/>
    <w:rsid w:val="EBFE8145"/>
    <w:rsid w:val="EBFF0A8F"/>
    <w:rsid w:val="ECE7EAA1"/>
    <w:rsid w:val="EDEC77A6"/>
    <w:rsid w:val="EDFDE274"/>
    <w:rsid w:val="EECFB7D3"/>
    <w:rsid w:val="EF9E152C"/>
    <w:rsid w:val="EFDF5759"/>
    <w:rsid w:val="F3DF18F6"/>
    <w:rsid w:val="F78D91E2"/>
    <w:rsid w:val="F7D3D808"/>
    <w:rsid w:val="F973F9C8"/>
    <w:rsid w:val="F9F73866"/>
    <w:rsid w:val="FBBFE03B"/>
    <w:rsid w:val="FBFF1014"/>
    <w:rsid w:val="FCBF4028"/>
    <w:rsid w:val="FD7E19FA"/>
    <w:rsid w:val="FDBFA6D2"/>
    <w:rsid w:val="FEEF26C1"/>
    <w:rsid w:val="FEF70B9E"/>
    <w:rsid w:val="FF73269B"/>
    <w:rsid w:val="FF7BC37C"/>
    <w:rsid w:val="FF9352F9"/>
    <w:rsid w:val="FFAFC971"/>
    <w:rsid w:val="FFFF28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60" w:after="360" w:line="300" w:lineRule="auto"/>
      <w:jc w:val="center"/>
      <w:outlineLvl w:val="0"/>
    </w:pPr>
    <w:rPr>
      <w:b/>
      <w:bCs/>
      <w:kern w:val="44"/>
      <w:sz w:val="24"/>
      <w:szCs w:val="44"/>
    </w:rPr>
  </w:style>
  <w:style w:type="paragraph" w:styleId="3">
    <w:name w:val="heading 2"/>
    <w:basedOn w:val="1"/>
    <w:next w:val="1"/>
    <w:unhideWhenUsed/>
    <w:qFormat/>
    <w:uiPriority w:val="9"/>
    <w:pPr>
      <w:keepNext/>
      <w:keepLines/>
      <w:numPr>
        <w:ilvl w:val="0"/>
        <w:numId w:val="1"/>
      </w:numPr>
      <w:spacing w:before="260" w:after="260"/>
      <w:outlineLvl w:val="1"/>
    </w:pPr>
    <w:rPr>
      <w:rFonts w:ascii="Cambria" w:hAnsi="Cambria"/>
      <w:b/>
      <w:bCs/>
      <w:sz w:val="24"/>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unhideWhenUsed/>
    <w:qFormat/>
    <w:uiPriority w:val="0"/>
    <w:pPr>
      <w:tabs>
        <w:tab w:val="left" w:pos="7380"/>
      </w:tabs>
      <w:ind w:firstLine="560" w:firstLineChars="200"/>
    </w:pPr>
    <w:rPr>
      <w:rFonts w:eastAsia="楷体_GB2312"/>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50" w:beforeLines="50" w:after="50" w:afterLines="50" w:line="360" w:lineRule="auto"/>
    </w:pPr>
    <w:rPr>
      <w:sz w:val="24"/>
    </w:rPr>
  </w:style>
  <w:style w:type="paragraph" w:styleId="9">
    <w:name w:val="toc 2"/>
    <w:basedOn w:val="1"/>
    <w:next w:val="1"/>
    <w:unhideWhenUsed/>
    <w:qFormat/>
    <w:uiPriority w:val="39"/>
    <w:pPr>
      <w:ind w:left="420" w:leftChars="200"/>
    </w:pPr>
    <w:rPr>
      <w:sz w:val="24"/>
    </w:rPr>
  </w:style>
  <w:style w:type="paragraph" w:styleId="10">
    <w:name w:val="Normal (Web)"/>
    <w:basedOn w:val="1"/>
    <w:qFormat/>
    <w:uiPriority w:val="2"/>
    <w:pPr>
      <w:widowControl/>
      <w:spacing w:before="100" w:beforeAutospacing="1" w:after="100" w:afterAutospacing="1"/>
      <w:jc w:val="left"/>
    </w:pPr>
    <w:rPr>
      <w:rFonts w:hint="eastAsia" w:ascii="宋体" w:hAnsi="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paragraph" w:styleId="16">
    <w:name w:val="List Paragraph"/>
    <w:basedOn w:val="1"/>
    <w:qFormat/>
    <w:uiPriority w:val="34"/>
    <w:pPr>
      <w:ind w:firstLine="420" w:firstLineChars="200"/>
    </w:pPr>
  </w:style>
  <w:style w:type="paragraph" w:customStyle="1" w:styleId="17">
    <w:name w:val="JOJO2"/>
    <w:basedOn w:val="1"/>
    <w:qFormat/>
    <w:uiPriority w:val="0"/>
    <w:pPr>
      <w:tabs>
        <w:tab w:val="left" w:pos="1980"/>
      </w:tabs>
      <w:ind w:left="1978" w:leftChars="684" w:hanging="542" w:hangingChars="258"/>
    </w:pPr>
  </w:style>
  <w:style w:type="paragraph" w:customStyle="1" w:styleId="18">
    <w:name w:val="NYIndenture_L3"/>
    <w:basedOn w:val="19"/>
    <w:next w:val="4"/>
    <w:qFormat/>
    <w:uiPriority w:val="0"/>
    <w:pPr>
      <w:numPr>
        <w:ilvl w:val="2"/>
      </w:numPr>
      <w:outlineLvl w:val="2"/>
    </w:pPr>
  </w:style>
  <w:style w:type="paragraph" w:customStyle="1" w:styleId="19">
    <w:name w:val="NYIndenture_L2"/>
    <w:basedOn w:val="20"/>
    <w:next w:val="4"/>
    <w:qFormat/>
    <w:uiPriority w:val="0"/>
    <w:pPr>
      <w:numPr>
        <w:ilvl w:val="1"/>
      </w:numPr>
      <w:jc w:val="left"/>
      <w:outlineLvl w:val="1"/>
    </w:pPr>
  </w:style>
  <w:style w:type="paragraph" w:customStyle="1" w:styleId="20">
    <w:name w:val="NYIndenture_L1"/>
    <w:basedOn w:val="1"/>
    <w:next w:val="4"/>
    <w:qFormat/>
    <w:uiPriority w:val="0"/>
    <w:pPr>
      <w:widowControl/>
      <w:numPr>
        <w:ilvl w:val="0"/>
        <w:numId w:val="2"/>
      </w:numPr>
      <w:spacing w:after="240"/>
      <w:jc w:val="center"/>
      <w:outlineLvl w:val="0"/>
    </w:pPr>
    <w:rPr>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3593</Words>
  <Characters>3734</Characters>
  <Lines>0</Lines>
  <Paragraphs>0</Paragraphs>
  <TotalTime>28</TotalTime>
  <ScaleCrop>false</ScaleCrop>
  <LinksUpToDate>false</LinksUpToDate>
  <CharactersWithSpaces>4557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2024-05-05T07:46:00Z</dcterms:created>
  <dc:creator>sugon</dc:creator>
  <cp:lastModifiedBy>门学孟</cp:lastModifiedBy>
  <cp:lastPrinted>2024-05-05T08:02:00Z</cp:lastPrinted>
  <dcterms:modified xsi:type="dcterms:W3CDTF">2025-02-11T02:00:50Z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436BEBD49026494C8995A241F6618684_13</vt:lpwstr>
  </property>
  <property fmtid="{D5CDD505-2E9C-101B-9397-08002B2CF9AE}" pid="4" name="KSOTemplateDocerSaveRecord">
    <vt:lpwstr>eyJoZGlkIjoiY2I1NWQ5MWJlMzAwM2E2Zjk2NzdlMThkNGMzNDE4MjgiLCJ1c2VySWQiOiIyNDE0NzM0NTUifQ==</vt:lpwstr>
  </property>
</Properties>
</file>