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59257">
      <w:pPr>
        <w:pStyle w:val="5"/>
        <w:rPr>
          <w:sz w:val="20"/>
        </w:rPr>
      </w:pPr>
    </w:p>
    <w:p w14:paraId="63C9A852">
      <w:pPr>
        <w:pStyle w:val="5"/>
        <w:spacing w:before="3"/>
        <w:rPr>
          <w:sz w:val="15"/>
        </w:rPr>
      </w:pPr>
    </w:p>
    <w:p w14:paraId="0658CF25">
      <w:pPr>
        <w:spacing w:before="0" w:line="481" w:lineRule="exact"/>
        <w:ind w:left="0" w:right="98" w:firstLine="0"/>
        <w:jc w:val="center"/>
        <w:rPr>
          <w:rFonts w:hint="eastAsia" w:ascii="黑体" w:hAnsi="黑体" w:eastAsia="黑体" w:cs="黑体"/>
          <w:sz w:val="44"/>
          <w:szCs w:val="44"/>
        </w:rPr>
      </w:pPr>
      <w:r>
        <w:rPr>
          <w:rFonts w:hint="eastAsia" w:ascii="黑体" w:hAnsi="黑体" w:eastAsia="黑体" w:cs="黑体"/>
          <w:color w:val="231F20"/>
          <w:sz w:val="44"/>
          <w:szCs w:val="44"/>
        </w:rPr>
        <w:t>二手车买卖合同</w:t>
      </w:r>
    </w:p>
    <w:p w14:paraId="5F9E9F2B">
      <w:pPr>
        <w:pStyle w:val="5"/>
        <w:spacing w:before="11"/>
        <w:rPr>
          <w:rFonts w:ascii="方正小标宋_GBK"/>
          <w:sz w:val="12"/>
        </w:rPr>
      </w:pPr>
    </w:p>
    <w:p w14:paraId="1797BBB7">
      <w:pPr>
        <w:pStyle w:val="5"/>
        <w:spacing w:before="22"/>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合同编号 :</w:t>
      </w:r>
    </w:p>
    <w:p w14:paraId="66543810">
      <w:pPr>
        <w:pStyle w:val="5"/>
        <w:rPr>
          <w:rFonts w:hint="eastAsia" w:ascii="仿宋_GB2312" w:hAnsi="仿宋_GB2312" w:eastAsia="仿宋_GB2312" w:cs="仿宋_GB2312"/>
          <w:sz w:val="28"/>
          <w:szCs w:val="28"/>
        </w:rPr>
      </w:pPr>
    </w:p>
    <w:p w14:paraId="2B1C1935">
      <w:pPr>
        <w:pStyle w:val="5"/>
        <w:spacing w:before="188"/>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甲方（出卖人）</w:t>
      </w:r>
      <w:r>
        <w:rPr>
          <w:rFonts w:hint="eastAsia" w:ascii="仿宋_GB2312" w:hAnsi="仿宋_GB2312" w:eastAsia="仿宋_GB2312" w:cs="仿宋_GB2312"/>
          <w:color w:val="231F20"/>
          <w:sz w:val="28"/>
          <w:szCs w:val="28"/>
          <w:lang w:eastAsia="zh-CN"/>
        </w:rPr>
        <w:t>：</w:t>
      </w:r>
    </w:p>
    <w:p w14:paraId="23D9CEB1">
      <w:pPr>
        <w:pStyle w:val="5"/>
        <w:tabs>
          <w:tab w:val="left" w:pos="4437"/>
        </w:tabs>
        <w:spacing w:before="109"/>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住所 :</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法定代表人 :</w:t>
      </w:r>
    </w:p>
    <w:p w14:paraId="1ADA39B6">
      <w:pPr>
        <w:pStyle w:val="5"/>
        <w:spacing w:before="109"/>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身份证号码 :</w:t>
      </w:r>
    </w:p>
    <w:p w14:paraId="7D7D3433">
      <w:pPr>
        <w:pStyle w:val="5"/>
        <w:spacing w:before="109" w:line="319" w:lineRule="auto"/>
        <w:ind w:left="557" w:right="5204"/>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社会信用统一代码或工商登记注册号 : 电话号码 :</w:t>
      </w:r>
    </w:p>
    <w:p w14:paraId="5A4787FD">
      <w:pPr>
        <w:pStyle w:val="5"/>
        <w:spacing w:before="26"/>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乙方（买受人）</w:t>
      </w:r>
      <w:r>
        <w:rPr>
          <w:rFonts w:hint="eastAsia" w:ascii="仿宋_GB2312" w:hAnsi="仿宋_GB2312" w:eastAsia="仿宋_GB2312" w:cs="仿宋_GB2312"/>
          <w:color w:val="231F20"/>
          <w:sz w:val="28"/>
          <w:szCs w:val="28"/>
          <w:lang w:eastAsia="zh-CN"/>
        </w:rPr>
        <w:t>：</w:t>
      </w:r>
    </w:p>
    <w:p w14:paraId="69B09354">
      <w:pPr>
        <w:pStyle w:val="5"/>
        <w:tabs>
          <w:tab w:val="left" w:pos="4437"/>
        </w:tabs>
        <w:spacing w:before="109"/>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住所 :</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法定代表人 :</w:t>
      </w:r>
    </w:p>
    <w:p w14:paraId="5C72A6A3">
      <w:pPr>
        <w:pStyle w:val="5"/>
        <w:spacing w:before="109"/>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社会信用统一代码或工商登记注册号 :</w:t>
      </w:r>
    </w:p>
    <w:p w14:paraId="6E723BC6">
      <w:pPr>
        <w:pStyle w:val="5"/>
        <w:tabs>
          <w:tab w:val="left" w:pos="4437"/>
        </w:tabs>
        <w:spacing w:before="109"/>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身份证号码 :</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电话号码 :</w:t>
      </w:r>
    </w:p>
    <w:p w14:paraId="6567E6B9">
      <w:pPr>
        <w:pStyle w:val="5"/>
        <w:spacing w:before="109" w:line="319" w:lineRule="auto"/>
        <w:ind w:left="117" w:right="144" w:firstLine="440"/>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10"/>
          <w:sz w:val="28"/>
          <w:szCs w:val="28"/>
        </w:rPr>
        <w:t>根据《中华人民共和国</w:t>
      </w:r>
      <w:r>
        <w:rPr>
          <w:rFonts w:hint="eastAsia" w:ascii="仿宋_GB2312" w:hAnsi="仿宋_GB2312" w:eastAsia="仿宋_GB2312" w:cs="仿宋_GB2312"/>
          <w:color w:val="231F20"/>
          <w:spacing w:val="-10"/>
          <w:sz w:val="28"/>
          <w:szCs w:val="28"/>
          <w:lang w:val="en-US" w:eastAsia="zh-CN"/>
        </w:rPr>
        <w:t>民法典》</w:t>
      </w:r>
      <w:r>
        <w:rPr>
          <w:rFonts w:hint="eastAsia" w:ascii="仿宋_GB2312" w:hAnsi="仿宋_GB2312" w:eastAsia="仿宋_GB2312" w:cs="仿宋_GB2312"/>
          <w:color w:val="231F20"/>
          <w:spacing w:val="-14"/>
          <w:sz w:val="28"/>
          <w:szCs w:val="28"/>
        </w:rPr>
        <w:t>等有关法律、法规、规章的规定， 就二手车的买卖事宜，买卖双方在平等、自愿、协商一致的基础上签订本合同。</w:t>
      </w:r>
    </w:p>
    <w:p w14:paraId="17F6DD0C">
      <w:pPr>
        <w:pStyle w:val="4"/>
        <w:tabs>
          <w:tab w:val="left" w:pos="959"/>
        </w:tabs>
        <w:spacing w:before="182"/>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第一条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车辆基本情况</w:t>
      </w:r>
    </w:p>
    <w:p w14:paraId="4AF1E2F7">
      <w:pPr>
        <w:pStyle w:val="5"/>
        <w:spacing w:before="5"/>
        <w:rPr>
          <w:rFonts w:hint="eastAsia" w:ascii="仿宋_GB2312" w:hAnsi="仿宋_GB2312" w:eastAsia="仿宋_GB2312" w:cs="仿宋_GB2312"/>
          <w:sz w:val="28"/>
          <w:szCs w:val="28"/>
        </w:rPr>
      </w:pPr>
    </w:p>
    <w:p w14:paraId="36D53F98">
      <w:pPr>
        <w:pStyle w:val="9"/>
        <w:numPr>
          <w:ilvl w:val="0"/>
          <w:numId w:val="1"/>
        </w:numPr>
        <w:tabs>
          <w:tab w:val="left" w:pos="776"/>
          <w:tab w:val="left" w:pos="5465"/>
        </w:tabs>
        <w:spacing w:before="0" w:after="0" w:line="319" w:lineRule="auto"/>
        <w:ind w:left="557" w:right="3706" w:firstLine="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车主名称或姓名</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 厂牌型号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59604197">
      <w:pPr>
        <w:pStyle w:val="5"/>
        <w:spacing w:before="14"/>
        <w:rPr>
          <w:rFonts w:hint="eastAsia" w:ascii="仿宋_GB2312" w:hAnsi="仿宋_GB2312" w:eastAsia="仿宋_GB2312" w:cs="仿宋_GB2312"/>
          <w:sz w:val="28"/>
          <w:szCs w:val="28"/>
        </w:rPr>
      </w:pPr>
    </w:p>
    <w:p w14:paraId="1DE7A010">
      <w:pPr>
        <w:pStyle w:val="5"/>
        <w:tabs>
          <w:tab w:val="left" w:pos="4907"/>
        </w:tabs>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车架号</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/VIN</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码</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082B62AB">
      <w:pPr>
        <w:pStyle w:val="9"/>
        <w:numPr>
          <w:ilvl w:val="0"/>
          <w:numId w:val="1"/>
        </w:numPr>
        <w:tabs>
          <w:tab w:val="left" w:pos="776"/>
          <w:tab w:val="left" w:pos="2368"/>
          <w:tab w:val="left" w:pos="8091"/>
        </w:tabs>
        <w:spacing w:before="108" w:after="0" w:line="319" w:lineRule="auto"/>
        <w:ind w:left="117" w:right="215"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车辆</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w:t>
      </w:r>
      <w:r>
        <w:rPr>
          <w:rFonts w:hint="eastAsia" w:ascii="仿宋_GB2312" w:hAnsi="仿宋_GB2312" w:eastAsia="仿宋_GB2312" w:cs="仿宋_GB2312"/>
          <w:color w:val="231F20"/>
          <w:sz w:val="28"/>
          <w:szCs w:val="28"/>
        </w:rPr>
        <w:t>是或否）因为质量问题而进行过更换、退货或主要零部件的维修、更换，原因是</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3B6C1B80">
      <w:pPr>
        <w:pStyle w:val="5"/>
        <w:spacing w:before="10"/>
        <w:rPr>
          <w:rFonts w:hint="eastAsia" w:ascii="仿宋_GB2312" w:hAnsi="仿宋_GB2312" w:eastAsia="仿宋_GB2312" w:cs="仿宋_GB2312"/>
          <w:sz w:val="28"/>
          <w:szCs w:val="28"/>
        </w:rPr>
      </w:pPr>
    </w:p>
    <w:p w14:paraId="29879E2B">
      <w:pPr>
        <w:pStyle w:val="4"/>
        <w:tabs>
          <w:tab w:val="left" w:pos="959"/>
        </w:tabs>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第二条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车辆价款、过户手续费及支付时间、方式</w:t>
      </w:r>
    </w:p>
    <w:p w14:paraId="25CC224B">
      <w:pPr>
        <w:pStyle w:val="5"/>
        <w:spacing w:before="5"/>
        <w:rPr>
          <w:rFonts w:hint="eastAsia" w:ascii="仿宋_GB2312" w:hAnsi="仿宋_GB2312" w:eastAsia="仿宋_GB2312" w:cs="仿宋_GB2312"/>
          <w:sz w:val="28"/>
          <w:szCs w:val="28"/>
        </w:rPr>
      </w:pPr>
    </w:p>
    <w:p w14:paraId="7D865158">
      <w:pPr>
        <w:pStyle w:val="9"/>
        <w:numPr>
          <w:ilvl w:val="0"/>
          <w:numId w:val="2"/>
        </w:numPr>
        <w:tabs>
          <w:tab w:val="left" w:pos="776"/>
        </w:tabs>
        <w:spacing w:before="0" w:after="0" w:line="240" w:lineRule="auto"/>
        <w:ind w:left="775" w:right="0" w:hanging="218"/>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车辆价款及过户手续费</w:t>
      </w:r>
    </w:p>
    <w:p w14:paraId="47C4239F">
      <w:pPr>
        <w:pStyle w:val="5"/>
        <w:tabs>
          <w:tab w:val="left" w:pos="3840"/>
          <w:tab w:val="left" w:pos="5604"/>
          <w:tab w:val="left" w:pos="7459"/>
          <w:tab w:val="left" w:pos="8661"/>
        </w:tabs>
        <w:spacing w:before="109" w:line="319" w:lineRule="auto"/>
        <w:ind w:left="557" w:right="24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本车价款（不含税费或</w:t>
      </w:r>
      <w:r>
        <w:rPr>
          <w:rFonts w:hint="eastAsia" w:ascii="仿宋_GB2312" w:hAnsi="仿宋_GB2312" w:eastAsia="仿宋_GB2312" w:cs="仿宋_GB2312"/>
          <w:color w:val="231F20"/>
          <w:sz w:val="28"/>
          <w:szCs w:val="28"/>
          <w:lang w:eastAsia="zh-CN"/>
        </w:rPr>
        <w:t>其他</w:t>
      </w:r>
      <w:r>
        <w:rPr>
          <w:rFonts w:hint="eastAsia" w:ascii="仿宋_GB2312" w:hAnsi="仿宋_GB2312" w:eastAsia="仿宋_GB2312" w:cs="仿宋_GB2312"/>
          <w:color w:val="231F20"/>
          <w:sz w:val="28"/>
          <w:szCs w:val="28"/>
        </w:rPr>
        <w:t>费用）为人民币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元（大写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r>
        <w:rPr>
          <w:rFonts w:hint="eastAsia" w:ascii="仿宋_GB2312" w:hAnsi="仿宋_GB2312" w:eastAsia="仿宋_GB2312" w:cs="仿宋_GB2312"/>
          <w:color w:val="231F20"/>
          <w:spacing w:val="-83"/>
          <w:sz w:val="28"/>
          <w:szCs w:val="28"/>
        </w:rPr>
        <w:t>）。</w:t>
      </w:r>
      <w:r>
        <w:rPr>
          <w:rFonts w:hint="eastAsia" w:ascii="仿宋_GB2312" w:hAnsi="仿宋_GB2312" w:eastAsia="仿宋_GB2312" w:cs="仿宋_GB2312"/>
          <w:color w:val="231F20"/>
          <w:sz w:val="28"/>
          <w:szCs w:val="28"/>
        </w:rPr>
        <w:t>过户手续费为人民币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元（大写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r>
        <w:rPr>
          <w:rFonts w:hint="eastAsia" w:ascii="仿宋_GB2312" w:hAnsi="仿宋_GB2312" w:eastAsia="仿宋_GB2312" w:cs="仿宋_GB2312"/>
          <w:color w:val="231F20"/>
          <w:spacing w:val="-83"/>
          <w:sz w:val="28"/>
          <w:szCs w:val="28"/>
        </w:rPr>
        <w:t>）。</w:t>
      </w:r>
    </w:p>
    <w:p w14:paraId="1BE6FEED">
      <w:pPr>
        <w:pStyle w:val="5"/>
        <w:spacing w:before="24"/>
        <w:ind w:left="557"/>
        <w:rPr>
          <w:rFonts w:hint="eastAsia" w:ascii="仿宋_GB2312" w:hAnsi="仿宋_GB2312" w:eastAsia="仿宋_GB2312" w:cs="仿宋_GB2312"/>
          <w:color w:val="231F20"/>
          <w:sz w:val="28"/>
          <w:szCs w:val="28"/>
        </w:rPr>
      </w:pPr>
      <w:r>
        <w:rPr>
          <w:rFonts w:hint="eastAsia" w:ascii="仿宋_GB2312" w:hAnsi="仿宋_GB2312" w:eastAsia="仿宋_GB2312" w:cs="仿宋_GB2312"/>
          <w:color w:val="231F20"/>
          <w:sz w:val="28"/>
          <w:szCs w:val="28"/>
        </w:rPr>
        <w:t>支付时间、方式</w:t>
      </w:r>
    </w:p>
    <w:p w14:paraId="27649908">
      <w:pPr>
        <w:pStyle w:val="5"/>
        <w:spacing w:before="24"/>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□合同签订之日，一次性付清车款 ;</w:t>
      </w:r>
    </w:p>
    <w:p w14:paraId="48AF6C62">
      <w:pPr>
        <w:pStyle w:val="5"/>
        <w:tabs>
          <w:tab w:val="left" w:pos="1870"/>
          <w:tab w:val="left" w:pos="4078"/>
          <w:tab w:val="left" w:pos="6955"/>
          <w:tab w:val="left" w:pos="7029"/>
          <w:tab w:val="left" w:pos="8088"/>
        </w:tabs>
        <w:spacing w:before="109" w:line="319" w:lineRule="auto"/>
        <w:ind w:left="117" w:right="215" w:firstLine="44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□合同签订之日，交付订金</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元（大写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pacing w:val="-110"/>
          <w:sz w:val="28"/>
          <w:szCs w:val="28"/>
          <w:u w:val="single" w:color="231F20"/>
        </w:rPr>
        <w:t xml:space="preserve"> </w:t>
      </w:r>
      <w:r>
        <w:rPr>
          <w:rFonts w:hint="eastAsia" w:ascii="仿宋_GB2312" w:hAnsi="仿宋_GB2312" w:eastAsia="仿宋_GB2312" w:cs="仿宋_GB2312"/>
          <w:color w:val="231F20"/>
          <w:spacing w:val="-110"/>
          <w:sz w:val="28"/>
          <w:szCs w:val="28"/>
          <w:u w:val="single" w:color="231F20"/>
        </w:rPr>
        <w:tab/>
      </w:r>
      <w:r>
        <w:rPr>
          <w:rFonts w:hint="eastAsia" w:ascii="仿宋_GB2312" w:hAnsi="仿宋_GB2312" w:eastAsia="仿宋_GB2312" w:cs="仿宋_GB2312"/>
          <w:color w:val="231F20"/>
          <w:sz w:val="28"/>
          <w:szCs w:val="28"/>
        </w:rPr>
        <w:t>个工作日内付清余款</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元（大写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r>
        <w:rPr>
          <w:rFonts w:hint="eastAsia" w:ascii="仿宋_GB2312" w:hAnsi="仿宋_GB2312" w:eastAsia="仿宋_GB2312" w:cs="仿宋_GB2312"/>
          <w:color w:val="231F20"/>
          <w:sz w:val="28"/>
          <w:szCs w:val="28"/>
          <w:lang w:eastAsia="zh-CN"/>
        </w:rPr>
        <w:t>；</w:t>
      </w:r>
    </w:p>
    <w:p w14:paraId="71857622">
      <w:pPr>
        <w:pStyle w:val="5"/>
        <w:spacing w:before="25"/>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□其他支付方式，如使用汽车消费贷款等支付方式以补充合同形式另行约定。</w:t>
      </w:r>
    </w:p>
    <w:p w14:paraId="0AD27D38">
      <w:pPr>
        <w:pStyle w:val="5"/>
        <w:spacing w:before="108"/>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□过户手续费由乙方承担 ;</w:t>
      </w:r>
    </w:p>
    <w:p w14:paraId="1321DEBB">
      <w:pPr>
        <w:pStyle w:val="5"/>
        <w:spacing w:before="108"/>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□过户手续费由甲方承担 ;</w:t>
      </w:r>
    </w:p>
    <w:p w14:paraId="3048E5D1">
      <w:pPr>
        <w:pStyle w:val="5"/>
        <w:tabs>
          <w:tab w:val="left" w:pos="2093"/>
          <w:tab w:val="left" w:pos="4033"/>
          <w:tab w:val="left" w:pos="4073"/>
          <w:tab w:val="left" w:pos="5732"/>
          <w:tab w:val="left" w:pos="8643"/>
          <w:tab w:val="left" w:pos="8766"/>
        </w:tabs>
        <w:spacing w:before="108" w:line="319" w:lineRule="auto"/>
        <w:ind w:left="117" w:right="264" w:firstLine="44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□过户手续费由乙方承担</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%，即</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37"/>
          <w:sz w:val="28"/>
          <w:szCs w:val="28"/>
        </w:rPr>
        <w:t>元</w:t>
      </w:r>
      <w:r>
        <w:rPr>
          <w:rFonts w:hint="eastAsia" w:ascii="仿宋_GB2312" w:hAnsi="仿宋_GB2312" w:eastAsia="仿宋_GB2312" w:cs="仿宋_GB2312"/>
          <w:color w:val="231F20"/>
          <w:sz w:val="28"/>
          <w:szCs w:val="28"/>
        </w:rPr>
        <w:t>（大写</w:t>
      </w:r>
      <w:r>
        <w:rPr>
          <w:rFonts w:hint="eastAsia" w:ascii="仿宋_GB2312" w:hAnsi="仿宋_GB2312" w:eastAsia="仿宋_GB2312" w:cs="仿宋_GB2312"/>
          <w:color w:val="231F20"/>
          <w:spacing w:val="-1"/>
          <w:sz w:val="28"/>
          <w:szCs w:val="28"/>
        </w:rPr>
        <w:t xml:space="preserve"> </w:t>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r>
        <w:rPr>
          <w:rFonts w:hint="eastAsia" w:ascii="仿宋_GB2312" w:hAnsi="仿宋_GB2312" w:eastAsia="仿宋_GB2312" w:cs="仿宋_GB2312"/>
          <w:color w:val="231F20"/>
          <w:spacing w:val="-64"/>
          <w:sz w:val="28"/>
          <w:szCs w:val="28"/>
        </w:rPr>
        <w:t>）</w:t>
      </w:r>
      <w:r>
        <w:rPr>
          <w:rFonts w:hint="eastAsia" w:ascii="仿宋_GB2312" w:hAnsi="仿宋_GB2312" w:eastAsia="仿宋_GB2312" w:cs="仿宋_GB2312"/>
          <w:color w:val="231F20"/>
          <w:spacing w:val="-64"/>
          <w:sz w:val="28"/>
          <w:szCs w:val="28"/>
          <w:lang w:eastAsia="zh-CN"/>
        </w:rPr>
        <w:t>；</w:t>
      </w:r>
      <w:r>
        <w:rPr>
          <w:rFonts w:hint="eastAsia" w:ascii="仿宋_GB2312" w:hAnsi="仿宋_GB2312" w:eastAsia="仿宋_GB2312" w:cs="仿宋_GB2312"/>
          <w:color w:val="231F20"/>
          <w:sz w:val="28"/>
          <w:szCs w:val="28"/>
        </w:rPr>
        <w:t>甲方承担</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%，即</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元（大写 :</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元</w:t>
      </w:r>
      <w:r>
        <w:rPr>
          <w:rFonts w:hint="eastAsia" w:ascii="仿宋_GB2312" w:hAnsi="仿宋_GB2312" w:eastAsia="仿宋_GB2312" w:cs="仿宋_GB2312"/>
          <w:color w:val="231F20"/>
          <w:spacing w:val="-83"/>
          <w:sz w:val="28"/>
          <w:szCs w:val="28"/>
        </w:rPr>
        <w:t>）。</w:t>
      </w:r>
    </w:p>
    <w:p w14:paraId="451CE452">
      <w:pPr>
        <w:pStyle w:val="5"/>
        <w:spacing w:before="25"/>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车辆过户时将过户手续费支付给双方约定的过户手续办理方。</w:t>
      </w:r>
    </w:p>
    <w:p w14:paraId="239DDE26">
      <w:pPr>
        <w:pStyle w:val="5"/>
        <w:spacing w:before="9"/>
        <w:rPr>
          <w:rFonts w:hint="eastAsia" w:ascii="仿宋_GB2312" w:hAnsi="仿宋_GB2312" w:eastAsia="仿宋_GB2312" w:cs="仿宋_GB2312"/>
          <w:sz w:val="28"/>
          <w:szCs w:val="28"/>
        </w:rPr>
      </w:pPr>
    </w:p>
    <w:p w14:paraId="165B9629">
      <w:pPr>
        <w:pStyle w:val="4"/>
        <w:tabs>
          <w:tab w:val="left" w:pos="3572"/>
        </w:tabs>
        <w:ind w:left="2612" w:right="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第三条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车辆的过户、交付及风险承担</w:t>
      </w:r>
    </w:p>
    <w:p w14:paraId="040F6429">
      <w:pPr>
        <w:pStyle w:val="5"/>
        <w:spacing w:before="4"/>
        <w:rPr>
          <w:rFonts w:hint="eastAsia" w:ascii="仿宋_GB2312" w:hAnsi="仿宋_GB2312" w:eastAsia="仿宋_GB2312" w:cs="仿宋_GB2312"/>
          <w:sz w:val="28"/>
          <w:szCs w:val="28"/>
        </w:rPr>
      </w:pPr>
    </w:p>
    <w:p w14:paraId="322F917C">
      <w:pPr>
        <w:pStyle w:val="5"/>
        <w:tabs>
          <w:tab w:val="left" w:pos="5224"/>
          <w:tab w:val="left" w:pos="5860"/>
        </w:tabs>
        <w:spacing w:before="1" w:line="319" w:lineRule="auto"/>
        <w:ind w:left="557" w:right="213"/>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过户手续办理方应于本合同签订之日起</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个工作日内，办理完成过户、转籍手续。甲方应于本车过户、转籍手续办理完成后</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个工作日内在（地点）向乙方交付车辆及相关凭证。</w:t>
      </w:r>
    </w:p>
    <w:p w14:paraId="01F15021">
      <w:pPr>
        <w:pStyle w:val="5"/>
        <w:spacing w:before="109" w:line="319" w:lineRule="auto"/>
        <w:ind w:left="117" w:right="144" w:firstLine="440"/>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在车辆交付乙方之前所发生的所有风险由甲方承担 ; 在车辆交付乙方之后所发生的所有风险由乙方承担。</w:t>
      </w:r>
    </w:p>
    <w:p w14:paraId="284CCE9F">
      <w:pPr>
        <w:pStyle w:val="4"/>
        <w:tabs>
          <w:tab w:val="left" w:pos="959"/>
        </w:tabs>
        <w:spacing w:before="182"/>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第四条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双方的权利和义务</w:t>
      </w:r>
    </w:p>
    <w:p w14:paraId="66221247">
      <w:pPr>
        <w:pStyle w:val="5"/>
        <w:spacing w:before="5"/>
        <w:rPr>
          <w:rFonts w:hint="eastAsia" w:ascii="仿宋_GB2312" w:hAnsi="仿宋_GB2312" w:eastAsia="仿宋_GB2312" w:cs="仿宋_GB2312"/>
          <w:sz w:val="28"/>
          <w:szCs w:val="28"/>
        </w:rPr>
      </w:pPr>
    </w:p>
    <w:p w14:paraId="4F150970">
      <w:pPr>
        <w:pStyle w:val="9"/>
        <w:numPr>
          <w:ilvl w:val="0"/>
          <w:numId w:val="3"/>
        </w:numPr>
        <w:tabs>
          <w:tab w:val="left" w:pos="776"/>
        </w:tabs>
        <w:spacing w:before="0" w:after="0" w:line="240" w:lineRule="auto"/>
        <w:ind w:left="117"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甲方应按照合同约定的时间、地点向乙方交付车辆及相关凭证。</w:t>
      </w:r>
    </w:p>
    <w:p w14:paraId="43335EB0">
      <w:pPr>
        <w:pStyle w:val="9"/>
        <w:numPr>
          <w:ilvl w:val="0"/>
          <w:numId w:val="3"/>
        </w:numPr>
        <w:tabs>
          <w:tab w:val="left" w:pos="776"/>
        </w:tabs>
        <w:spacing w:before="108" w:after="0" w:line="240" w:lineRule="auto"/>
        <w:ind w:left="117"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甲方应保证合法享有车辆的所有权或处置权。</w:t>
      </w:r>
    </w:p>
    <w:p w14:paraId="57C529A9">
      <w:pPr>
        <w:pStyle w:val="9"/>
        <w:numPr>
          <w:ilvl w:val="0"/>
          <w:numId w:val="3"/>
        </w:numPr>
        <w:tabs>
          <w:tab w:val="left" w:pos="776"/>
        </w:tabs>
        <w:spacing w:before="108" w:after="0" w:line="240" w:lineRule="auto"/>
        <w:ind w:left="117"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甲方保证所出示及提供的与车辆有关的一切证件、证明及信息合法、真实、有效。</w:t>
      </w:r>
    </w:p>
    <w:p w14:paraId="4D73F459">
      <w:pPr>
        <w:pStyle w:val="9"/>
        <w:numPr>
          <w:ilvl w:val="0"/>
          <w:numId w:val="3"/>
        </w:numPr>
        <w:tabs>
          <w:tab w:val="left" w:pos="776"/>
        </w:tabs>
        <w:spacing w:before="108" w:after="0" w:line="240" w:lineRule="auto"/>
        <w:ind w:left="117" w:right="0"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乙方应按照合同约定支付价款。</w:t>
      </w:r>
    </w:p>
    <w:p w14:paraId="52CDD41D">
      <w:pPr>
        <w:pStyle w:val="9"/>
        <w:numPr>
          <w:ilvl w:val="0"/>
          <w:numId w:val="3"/>
        </w:numPr>
        <w:tabs>
          <w:tab w:val="left" w:pos="763"/>
        </w:tabs>
        <w:spacing w:before="108" w:after="0" w:line="319" w:lineRule="auto"/>
        <w:ind w:left="117" w:right="219"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5"/>
          <w:sz w:val="28"/>
          <w:szCs w:val="28"/>
        </w:rPr>
        <w:t>对转出属地的车辆，乙方确认已经了解注册地对于迁入机动车限制性规定，确认该车辆符合当地注册登记标准。如果因非甲方原因导致乙方无法在当地注册登记的，乙方自行承担责任。</w:t>
      </w:r>
    </w:p>
    <w:p w14:paraId="4683763A">
      <w:pPr>
        <w:pStyle w:val="4"/>
        <w:tabs>
          <w:tab w:val="left" w:pos="4052"/>
        </w:tabs>
        <w:spacing w:before="181"/>
        <w:ind w:left="3092" w:right="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第五条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车辆质量与质量保证</w:t>
      </w:r>
    </w:p>
    <w:p w14:paraId="26948B21">
      <w:pPr>
        <w:pStyle w:val="5"/>
        <w:spacing w:before="5"/>
        <w:rPr>
          <w:rFonts w:hint="eastAsia" w:ascii="仿宋_GB2312" w:hAnsi="仿宋_GB2312" w:eastAsia="仿宋_GB2312" w:cs="仿宋_GB2312"/>
          <w:sz w:val="28"/>
          <w:szCs w:val="28"/>
        </w:rPr>
      </w:pPr>
    </w:p>
    <w:p w14:paraId="3196079B">
      <w:pPr>
        <w:pStyle w:val="9"/>
        <w:numPr>
          <w:ilvl w:val="0"/>
          <w:numId w:val="4"/>
        </w:numPr>
        <w:tabs>
          <w:tab w:val="left" w:pos="778"/>
        </w:tabs>
        <w:spacing w:before="0" w:after="0" w:line="319" w:lineRule="auto"/>
        <w:ind w:left="117" w:right="208"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pacing w:val="3"/>
          <w:sz w:val="28"/>
          <w:szCs w:val="28"/>
        </w:rPr>
        <w:t>甲方为法人的或通过法人机构委托销售、拍卖的，应提供二手车技术状况</w:t>
      </w:r>
      <w:r>
        <w:rPr>
          <w:rFonts w:hint="eastAsia" w:ascii="仿宋_GB2312" w:hAnsi="仿宋_GB2312" w:eastAsia="仿宋_GB2312" w:cs="仿宋_GB2312"/>
          <w:color w:val="231F20"/>
          <w:sz w:val="28"/>
          <w:szCs w:val="28"/>
        </w:rPr>
        <w:t>表，作为合同的一部分。</w:t>
      </w:r>
    </w:p>
    <w:p w14:paraId="5110B102">
      <w:pPr>
        <w:pStyle w:val="9"/>
        <w:numPr>
          <w:ilvl w:val="0"/>
          <w:numId w:val="4"/>
        </w:numPr>
        <w:tabs>
          <w:tab w:val="left" w:pos="776"/>
          <w:tab w:val="left" w:pos="4786"/>
          <w:tab w:val="left" w:pos="8996"/>
        </w:tabs>
        <w:spacing w:before="26" w:after="0" w:line="240" w:lineRule="auto"/>
        <w:ind w:left="775" w:right="0" w:hanging="218"/>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车辆完成交易后，甲方向乙方提供</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个月的质保，质保范围为</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p>
    <w:p w14:paraId="1D994D16">
      <w:pPr>
        <w:pStyle w:val="5"/>
        <w:spacing w:before="10"/>
        <w:rPr>
          <w:rFonts w:hint="eastAsia" w:ascii="仿宋_GB2312" w:hAnsi="仿宋_GB2312" w:eastAsia="仿宋_GB2312" w:cs="仿宋_GB2312"/>
          <w:sz w:val="28"/>
          <w:szCs w:val="28"/>
        </w:rPr>
      </w:pPr>
      <w:bookmarkStart w:id="0" w:name="_GoBack"/>
      <w:bookmarkEnd w:id="0"/>
    </w:p>
    <w:p w14:paraId="076D66AD">
      <w:pPr>
        <w:pStyle w:val="4"/>
        <w:tabs>
          <w:tab w:val="left" w:pos="959"/>
        </w:tabs>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第六条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违约责任</w:t>
      </w:r>
    </w:p>
    <w:p w14:paraId="197962A8">
      <w:pPr>
        <w:pStyle w:val="5"/>
        <w:spacing w:before="5"/>
        <w:rPr>
          <w:rFonts w:hint="eastAsia" w:ascii="仿宋_GB2312" w:hAnsi="仿宋_GB2312" w:eastAsia="仿宋_GB2312" w:cs="仿宋_GB2312"/>
          <w:sz w:val="28"/>
          <w:szCs w:val="28"/>
        </w:rPr>
      </w:pPr>
    </w:p>
    <w:p w14:paraId="20662F3D">
      <w:pPr>
        <w:pStyle w:val="5"/>
        <w:spacing w:before="24"/>
        <w:ind w:left="11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甲方向乙方提供的有关车辆信息不真实或甲方故意隐瞒相关车辆信息，包括三包记录、维修记录、改装记录等，乙方有权解除合同，并要求甲方赔偿因此造成的损失。</w:t>
      </w:r>
    </w:p>
    <w:p w14:paraId="375E03A1">
      <w:pPr>
        <w:pStyle w:val="9"/>
        <w:numPr>
          <w:ilvl w:val="0"/>
          <w:numId w:val="5"/>
        </w:numPr>
        <w:tabs>
          <w:tab w:val="left" w:pos="776"/>
          <w:tab w:val="left" w:pos="5359"/>
          <w:tab w:val="left" w:pos="7208"/>
          <w:tab w:val="left" w:pos="8895"/>
        </w:tabs>
        <w:spacing w:before="109" w:after="0" w:line="319" w:lineRule="auto"/>
        <w:ind w:left="117" w:right="105"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甲方未按合同的约定期限将本车及其相关凭证交付乙方超过</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日的，乙方有权解除本合同，并由甲方逾期每日按本车价款总额的</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（最高不超过合同总价款的</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 向乙方支付违约金。</w:t>
      </w:r>
    </w:p>
    <w:p w14:paraId="22BEA304">
      <w:pPr>
        <w:pStyle w:val="9"/>
        <w:numPr>
          <w:ilvl w:val="0"/>
          <w:numId w:val="5"/>
        </w:numPr>
        <w:tabs>
          <w:tab w:val="left" w:pos="776"/>
          <w:tab w:val="left" w:pos="3193"/>
          <w:tab w:val="left" w:pos="5668"/>
          <w:tab w:val="left" w:pos="6928"/>
        </w:tabs>
        <w:spacing w:before="25" w:after="0" w:line="319" w:lineRule="auto"/>
        <w:ind w:left="117" w:right="105" w:firstLine="44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乙方未按照合同约定期限支付本车价款的超过</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日的，甲方有权解除本合同，乙方逾期每日按本车价款总额</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w:t>
      </w:r>
      <w:r>
        <w:rPr>
          <w:rFonts w:hint="eastAsia" w:ascii="仿宋_GB2312" w:hAnsi="仿宋_GB2312" w:eastAsia="仿宋_GB2312" w:cs="仿宋_GB2312"/>
          <w:color w:val="231F20"/>
          <w:spacing w:val="-110"/>
          <w:sz w:val="28"/>
          <w:szCs w:val="28"/>
        </w:rPr>
        <w:t>。</w:t>
      </w:r>
      <w:r>
        <w:rPr>
          <w:rFonts w:hint="eastAsia" w:ascii="仿宋_GB2312" w:hAnsi="仿宋_GB2312" w:eastAsia="仿宋_GB2312" w:cs="仿宋_GB2312"/>
          <w:color w:val="231F20"/>
          <w:sz w:val="28"/>
          <w:szCs w:val="28"/>
        </w:rPr>
        <w:t>（最高不超过合同总价款的</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pacing w:val="-8"/>
          <w:sz w:val="28"/>
          <w:szCs w:val="28"/>
        </w:rPr>
        <w:t>%）</w:t>
      </w:r>
      <w:r>
        <w:rPr>
          <w:rFonts w:hint="eastAsia" w:ascii="仿宋_GB2312" w:hAnsi="仿宋_GB2312" w:eastAsia="仿宋_GB2312" w:cs="仿宋_GB2312"/>
          <w:color w:val="231F20"/>
          <w:sz w:val="28"/>
          <w:szCs w:val="28"/>
        </w:rPr>
        <w:t>向甲方支付违约金。</w:t>
      </w:r>
    </w:p>
    <w:p w14:paraId="584F0222">
      <w:pPr>
        <w:pStyle w:val="9"/>
        <w:numPr>
          <w:ilvl w:val="0"/>
          <w:numId w:val="5"/>
        </w:numPr>
        <w:tabs>
          <w:tab w:val="left" w:pos="776"/>
        </w:tabs>
        <w:spacing w:before="25" w:after="0" w:line="319" w:lineRule="auto"/>
        <w:ind w:left="117" w:right="213" w:firstLine="440"/>
        <w:jc w:val="both"/>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因甲方原因致使车辆不能办理过户、转籍手续的，乙方有权解除本合同，要求甲方返还车辆价款并承担相应损失 ; 因乙方原因致使车辆不能办理过户、转籍手续的，甲方有权解除本合同，并要求乙方返还车辆并承担相应损失。</w:t>
      </w:r>
    </w:p>
    <w:p w14:paraId="42347CB5">
      <w:pPr>
        <w:pStyle w:val="9"/>
        <w:numPr>
          <w:ilvl w:val="0"/>
          <w:numId w:val="5"/>
        </w:numPr>
        <w:tabs>
          <w:tab w:val="left" w:pos="776"/>
        </w:tabs>
        <w:spacing w:before="25" w:after="0" w:line="240" w:lineRule="auto"/>
        <w:ind w:left="775" w:right="0" w:hanging="218"/>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其他违约责任 :</w:t>
      </w:r>
    </w:p>
    <w:p w14:paraId="0E8F0AE9">
      <w:pPr>
        <w:pStyle w:val="5"/>
        <w:spacing w:before="9"/>
        <w:rPr>
          <w:rFonts w:hint="eastAsia" w:ascii="仿宋_GB2312" w:hAnsi="仿宋_GB2312" w:eastAsia="仿宋_GB2312" w:cs="仿宋_GB2312"/>
          <w:sz w:val="28"/>
          <w:szCs w:val="28"/>
        </w:rPr>
      </w:pPr>
    </w:p>
    <w:p w14:paraId="4ED9A11D">
      <w:pPr>
        <w:pStyle w:val="4"/>
        <w:tabs>
          <w:tab w:val="left" w:pos="4052"/>
        </w:tabs>
        <w:ind w:left="3092" w:right="0"/>
        <w:jc w:val="left"/>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第七条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合同争议的解决方式</w:t>
      </w:r>
    </w:p>
    <w:p w14:paraId="4CEA47A9">
      <w:pPr>
        <w:pStyle w:val="5"/>
        <w:spacing w:before="5"/>
        <w:rPr>
          <w:rFonts w:hint="eastAsia" w:ascii="仿宋_GB2312" w:hAnsi="仿宋_GB2312" w:eastAsia="仿宋_GB2312" w:cs="仿宋_GB2312"/>
          <w:sz w:val="28"/>
          <w:szCs w:val="28"/>
        </w:rPr>
      </w:pPr>
    </w:p>
    <w:p w14:paraId="742E982C">
      <w:pPr>
        <w:pStyle w:val="9"/>
        <w:keepNext w:val="0"/>
        <w:keepLines w:val="0"/>
        <w:pageBreakBefore w:val="0"/>
        <w:widowControl w:val="0"/>
        <w:numPr>
          <w:ilvl w:val="0"/>
          <w:numId w:val="0"/>
        </w:numPr>
        <w:tabs>
          <w:tab w:val="left" w:pos="776"/>
          <w:tab w:val="left" w:pos="3344"/>
        </w:tabs>
        <w:kinsoku/>
        <w:wordWrap/>
        <w:overflowPunct/>
        <w:topLinePunct w:val="0"/>
        <w:autoSpaceDE w:val="0"/>
        <w:autoSpaceDN w:val="0"/>
        <w:bidi w:val="0"/>
        <w:adjustRightInd/>
        <w:snapToGrid/>
        <w:spacing w:before="0" w:after="0" w:line="240" w:lineRule="auto"/>
        <w:ind w:left="0" w:leftChars="0" w:right="0" w:righ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因本合同引起的或与本合同有关的任何争议，</w:t>
      </w:r>
      <w:r>
        <w:rPr>
          <w:rFonts w:hint="eastAsia" w:ascii="仿宋_GB2312" w:hAnsi="仿宋_GB2312" w:eastAsia="仿宋_GB2312" w:cs="仿宋_GB2312"/>
          <w:b/>
          <w:bCs/>
          <w:sz w:val="28"/>
          <w:szCs w:val="28"/>
          <w:u w:val="single"/>
        </w:rPr>
        <w:t>均提请绵阳仲裁委员会按照该会仲裁规则进行仲裁</w:t>
      </w:r>
      <w:r>
        <w:rPr>
          <w:rFonts w:hint="eastAsia" w:ascii="仿宋_GB2312" w:hAnsi="仿宋_GB2312" w:eastAsia="仿宋_GB2312" w:cs="仿宋_GB2312"/>
          <w:sz w:val="28"/>
          <w:szCs w:val="28"/>
          <w:u w:val="single"/>
        </w:rPr>
        <w:t>。仲裁裁决是终局的，对双方均有约束力。</w:t>
      </w:r>
    </w:p>
    <w:p w14:paraId="4E1B0C1A">
      <w:pPr>
        <w:pStyle w:val="5"/>
        <w:keepNext w:val="0"/>
        <w:keepLines w:val="0"/>
        <w:pageBreakBefore w:val="0"/>
        <w:widowControl w:val="0"/>
        <w:kinsoku/>
        <w:wordWrap/>
        <w:overflowPunct/>
        <w:topLinePunct w:val="0"/>
        <w:autoSpaceDE w:val="0"/>
        <w:autoSpaceDN w:val="0"/>
        <w:bidi w:val="0"/>
        <w:adjustRightInd/>
        <w:snapToGrid/>
        <w:spacing w:before="0"/>
        <w:ind w:left="0" w:firstLine="560" w:firstLineChars="200"/>
        <w:textAlignment w:val="auto"/>
        <w:rPr>
          <w:rFonts w:hint="eastAsia" w:ascii="仿宋_GB2312" w:hAnsi="仿宋_GB2312" w:eastAsia="仿宋_GB2312" w:cs="仿宋_GB2312"/>
          <w:sz w:val="28"/>
          <w:szCs w:val="28"/>
        </w:rPr>
      </w:pPr>
    </w:p>
    <w:p w14:paraId="1FB53C1D">
      <w:pPr>
        <w:pStyle w:val="4"/>
        <w:tabs>
          <w:tab w:val="left" w:pos="959"/>
        </w:tabs>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第八条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color w:val="231F20"/>
          <w:sz w:val="28"/>
          <w:szCs w:val="28"/>
        </w:rPr>
        <w:t>合同的生效</w:t>
      </w:r>
    </w:p>
    <w:p w14:paraId="1405905A">
      <w:pPr>
        <w:pStyle w:val="5"/>
        <w:spacing w:before="5"/>
        <w:rPr>
          <w:rFonts w:hint="eastAsia" w:ascii="仿宋_GB2312" w:hAnsi="仿宋_GB2312" w:eastAsia="仿宋_GB2312" w:cs="仿宋_GB2312"/>
          <w:sz w:val="28"/>
          <w:szCs w:val="28"/>
        </w:rPr>
      </w:pPr>
    </w:p>
    <w:p w14:paraId="4BC80A12">
      <w:pPr>
        <w:pStyle w:val="5"/>
        <w:tabs>
          <w:tab w:val="left" w:pos="2862"/>
        </w:tabs>
        <w:ind w:left="557"/>
        <w:rPr>
          <w:rFonts w:hint="eastAsia" w:ascii="仿宋_GB2312" w:hAnsi="仿宋_GB2312" w:eastAsia="仿宋_GB2312" w:cs="仿宋_GB2312"/>
          <w:sz w:val="28"/>
          <w:szCs w:val="28"/>
        </w:rPr>
      </w:pPr>
      <w:r>
        <w:rPr>
          <w:rFonts w:hint="eastAsia" w:ascii="仿宋_GB2312" w:hAnsi="仿宋_GB2312" w:eastAsia="仿宋_GB2312" w:cs="仿宋_GB2312"/>
          <w:color w:val="231F20"/>
          <w:sz w:val="28"/>
          <w:szCs w:val="28"/>
        </w:rPr>
        <w:t>本合同一式</w:t>
      </w:r>
      <w:r>
        <w:rPr>
          <w:rFonts w:hint="eastAsia" w:ascii="仿宋_GB2312" w:hAnsi="仿宋_GB2312" w:eastAsia="仿宋_GB2312" w:cs="仿宋_GB2312"/>
          <w:color w:val="231F20"/>
          <w:sz w:val="28"/>
          <w:szCs w:val="28"/>
          <w:u w:val="single" w:color="231F20"/>
        </w:rPr>
        <w:t xml:space="preserve"> </w:t>
      </w:r>
      <w:r>
        <w:rPr>
          <w:rFonts w:hint="eastAsia" w:ascii="仿宋_GB2312" w:hAnsi="仿宋_GB2312" w:eastAsia="仿宋_GB2312" w:cs="仿宋_GB2312"/>
          <w:color w:val="231F20"/>
          <w:sz w:val="28"/>
          <w:szCs w:val="28"/>
          <w:u w:val="single" w:color="231F20"/>
        </w:rPr>
        <w:tab/>
      </w:r>
      <w:r>
        <w:rPr>
          <w:rFonts w:hint="eastAsia" w:ascii="仿宋_GB2312" w:hAnsi="仿宋_GB2312" w:eastAsia="仿宋_GB2312" w:cs="仿宋_GB2312"/>
          <w:color w:val="231F20"/>
          <w:sz w:val="28"/>
          <w:szCs w:val="28"/>
        </w:rPr>
        <w:t>份，经双方当事人签字或盖章之日起生效。</w:t>
      </w:r>
    </w:p>
    <w:p w14:paraId="674491B4">
      <w:pPr>
        <w:pStyle w:val="5"/>
        <w:spacing w:before="9"/>
        <w:rPr>
          <w:rFonts w:hint="eastAsia" w:ascii="仿宋_GB2312" w:hAnsi="仿宋_GB2312" w:eastAsia="仿宋_GB2312" w:cs="仿宋_GB2312"/>
          <w:sz w:val="28"/>
          <w:szCs w:val="28"/>
        </w:rPr>
      </w:pPr>
    </w:p>
    <w:p w14:paraId="5C35BA0E">
      <w:pPr>
        <w:pStyle w:val="4"/>
        <w:tabs>
          <w:tab w:val="left" w:pos="4652"/>
        </w:tabs>
        <w:spacing w:before="1"/>
        <w:ind w:left="3692"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231F20"/>
          <w:sz w:val="28"/>
          <w:szCs w:val="28"/>
        </w:rPr>
        <w:t>第九条</w:t>
      </w:r>
      <w:r>
        <w:rPr>
          <w:rFonts w:hint="eastAsia" w:ascii="仿宋_GB2312" w:hAnsi="仿宋_GB2312" w:eastAsia="仿宋_GB2312" w:cs="仿宋_GB2312"/>
          <w:color w:val="231F20"/>
          <w:sz w:val="28"/>
          <w:szCs w:val="28"/>
        </w:rPr>
        <w:tab/>
      </w:r>
      <w:r>
        <w:rPr>
          <w:rFonts w:hint="eastAsia" w:ascii="仿宋_GB2312" w:hAnsi="仿宋_GB2312" w:eastAsia="仿宋_GB2312" w:cs="仿宋_GB2312"/>
          <w:sz w:val="28"/>
          <w:szCs w:val="28"/>
          <w:lang w:val="en-US" w:eastAsia="zh-CN"/>
        </w:rPr>
        <w:t>送达方式及送达地址条款</w:t>
      </w:r>
    </w:p>
    <w:p w14:paraId="68080B9C">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合同签订人所填写的地址信息，将作为通知、信件、律师函、法院文书、仲裁文书等一切书面文件的送达地址。若该地址送达的相关文件无人签收或被拒绝签收，则文件退回之日视为送达之日。</w:t>
      </w:r>
    </w:p>
    <w:p w14:paraId="7F7787F7">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双方确认的送达地址如下：</w:t>
      </w:r>
    </w:p>
    <w:p w14:paraId="1C1C0A31">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甲方地址：</w:t>
      </w:r>
    </w:p>
    <w:p w14:paraId="5700855D">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                   收件人：</w:t>
      </w:r>
    </w:p>
    <w:p w14:paraId="7A24785F">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手机号码：                   电子邮箱：            微信号：</w:t>
      </w:r>
    </w:p>
    <w:p w14:paraId="68C6407D">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乙方地址：</w:t>
      </w:r>
    </w:p>
    <w:p w14:paraId="6C2015AC">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邮政编码：                   收件人：</w:t>
      </w:r>
    </w:p>
    <w:p w14:paraId="675DB867">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手机号码：                   电子邮箱：            微信号：</w:t>
      </w:r>
    </w:p>
    <w:p w14:paraId="188DAA2F">
      <w:pPr>
        <w:keepNext w:val="0"/>
        <w:keepLines w:val="0"/>
        <w:pageBreakBefore w:val="0"/>
        <w:kinsoku/>
        <w:wordWrap/>
        <w:overflowPunct/>
        <w:topLinePunct w:val="0"/>
        <w:bidi w:val="0"/>
        <w:snapToGrid/>
        <w:spacing w:line="620" w:lineRule="exact"/>
        <w:ind w:firstLine="560" w:firstLineChars="200"/>
        <w:textAlignment w:val="auto"/>
        <w:rPr>
          <w:rFonts w:hint="eastAsia" w:ascii="仿宋_GB2312" w:hAnsi="仿宋_GB2312" w:eastAsia="仿宋_GB2312" w:cs="仿宋_GB2312"/>
          <w:sz w:val="28"/>
          <w:szCs w:val="28"/>
          <w:lang w:val="en-US" w:eastAsia="zh-CN"/>
        </w:rPr>
      </w:pPr>
    </w:p>
    <w:p w14:paraId="52EB6BBB">
      <w:pPr>
        <w:pStyle w:val="5"/>
        <w:rPr>
          <w:rFonts w:hint="eastAsia" w:ascii="仿宋_GB2312" w:hAnsi="仿宋_GB2312" w:eastAsia="仿宋_GB2312" w:cs="仿宋_GB2312"/>
          <w:sz w:val="28"/>
          <w:szCs w:val="28"/>
        </w:rPr>
      </w:pPr>
    </w:p>
    <w:p w14:paraId="5A3F1DE5">
      <w:pPr>
        <w:pStyle w:val="9"/>
        <w:numPr>
          <w:numId w:val="0"/>
        </w:numPr>
        <w:tabs>
          <w:tab w:val="left" w:pos="396"/>
        </w:tabs>
        <w:spacing w:before="109" w:after="0" w:line="240" w:lineRule="auto"/>
        <w:ind w:right="0" w:rightChars="0"/>
        <w:jc w:val="left"/>
        <w:rPr>
          <w:rFonts w:hint="eastAsia" w:ascii="仿宋_GB2312" w:hAnsi="仿宋_GB2312" w:eastAsia="仿宋_GB2312" w:cs="仿宋_GB2312"/>
          <w:sz w:val="28"/>
          <w:szCs w:val="28"/>
        </w:rPr>
      </w:pPr>
    </w:p>
    <w:sectPr>
      <w:footerReference r:id="rId5" w:type="default"/>
      <w:footerReference r:id="rId6" w:type="even"/>
      <w:type w:val="continuous"/>
      <w:pgSz w:w="11910" w:h="16840"/>
      <w:pgMar w:top="1580" w:right="1300" w:bottom="102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书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86CB4">
    <w:pPr>
      <w:pStyle w:val="5"/>
      <w:spacing w:line="14" w:lineRule="auto"/>
      <w:rPr>
        <w:sz w:val="20"/>
      </w:rPr>
    </w:pPr>
    <w:r>
      <w:pict>
        <v:shape id="_x0000_s4097" o:spid="_x0000_s4097" o:spt="202" type="#_x0000_t202" style="position:absolute;left:0pt;margin-left:517.4pt;margin-top:789.25pt;height:13.1pt;width: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94A004B">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099E">
    <w:pPr>
      <w:pStyle w:val="5"/>
      <w:spacing w:line="14" w:lineRule="auto"/>
      <w:rPr>
        <w:sz w:val="20"/>
      </w:rPr>
    </w:pPr>
    <w:r>
      <w:pict>
        <v:shape id="_x0000_s4098" o:spid="_x0000_s4098" o:spt="202" type="#_x0000_t202" style="position:absolute;left:0pt;margin-left:68.85pt;margin-top:789.25pt;height:13.1pt;width: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4AE63F17">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9"/>
      </w:pPr>
      <w:rPr>
        <w:rFonts w:hint="default"/>
      </w:rPr>
    </w:lvl>
    <w:lvl w:ilvl="2" w:tentative="0">
      <w:start w:val="0"/>
      <w:numFmt w:val="bullet"/>
      <w:lvlText w:val="•"/>
      <w:lvlJc w:val="left"/>
      <w:pPr>
        <w:ind w:left="2505" w:hanging="219"/>
      </w:pPr>
      <w:rPr>
        <w:rFonts w:hint="default"/>
      </w:rPr>
    </w:lvl>
    <w:lvl w:ilvl="3" w:tentative="0">
      <w:start w:val="0"/>
      <w:numFmt w:val="bullet"/>
      <w:lvlText w:val="•"/>
      <w:lvlJc w:val="left"/>
      <w:pPr>
        <w:ind w:left="3367" w:hanging="219"/>
      </w:pPr>
      <w:rPr>
        <w:rFonts w:hint="default"/>
      </w:rPr>
    </w:lvl>
    <w:lvl w:ilvl="4" w:tentative="0">
      <w:start w:val="0"/>
      <w:numFmt w:val="bullet"/>
      <w:lvlText w:val="•"/>
      <w:lvlJc w:val="left"/>
      <w:pPr>
        <w:ind w:left="4230" w:hanging="219"/>
      </w:pPr>
      <w:rPr>
        <w:rFonts w:hint="default"/>
      </w:rPr>
    </w:lvl>
    <w:lvl w:ilvl="5" w:tentative="0">
      <w:start w:val="0"/>
      <w:numFmt w:val="bullet"/>
      <w:lvlText w:val="•"/>
      <w:lvlJc w:val="left"/>
      <w:pPr>
        <w:ind w:left="5092" w:hanging="219"/>
      </w:pPr>
      <w:rPr>
        <w:rFonts w:hint="default"/>
      </w:rPr>
    </w:lvl>
    <w:lvl w:ilvl="6" w:tentative="0">
      <w:start w:val="0"/>
      <w:numFmt w:val="bullet"/>
      <w:lvlText w:val="•"/>
      <w:lvlJc w:val="left"/>
      <w:pPr>
        <w:ind w:left="5955" w:hanging="219"/>
      </w:pPr>
      <w:rPr>
        <w:rFonts w:hint="default"/>
      </w:rPr>
    </w:lvl>
    <w:lvl w:ilvl="7" w:tentative="0">
      <w:start w:val="0"/>
      <w:numFmt w:val="bullet"/>
      <w:lvlText w:val="•"/>
      <w:lvlJc w:val="left"/>
      <w:pPr>
        <w:ind w:left="6817" w:hanging="219"/>
      </w:pPr>
      <w:rPr>
        <w:rFonts w:hint="default"/>
      </w:rPr>
    </w:lvl>
    <w:lvl w:ilvl="8" w:tentative="0">
      <w:start w:val="0"/>
      <w:numFmt w:val="bullet"/>
      <w:lvlText w:val="•"/>
      <w:lvlJc w:val="left"/>
      <w:pPr>
        <w:ind w:left="7680" w:hanging="219"/>
      </w:pPr>
      <w:rPr>
        <w:rFonts w:hint="default"/>
      </w:rPr>
    </w:lvl>
  </w:abstractNum>
  <w:abstractNum w:abstractNumId="1">
    <w:nsid w:val="C8879AEF"/>
    <w:multiLevelType w:val="multilevel"/>
    <w:tmpl w:val="C8879AEF"/>
    <w:lvl w:ilvl="0" w:tentative="0">
      <w:start w:val="1"/>
      <w:numFmt w:val="decimal"/>
      <w:lvlText w:val="%1."/>
      <w:lvlJc w:val="left"/>
      <w:pPr>
        <w:ind w:left="117" w:hanging="220"/>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8" w:hanging="220"/>
      </w:pPr>
      <w:rPr>
        <w:rFonts w:hint="default"/>
      </w:rPr>
    </w:lvl>
    <w:lvl w:ilvl="2" w:tentative="0">
      <w:start w:val="0"/>
      <w:numFmt w:val="bullet"/>
      <w:lvlText w:val="•"/>
      <w:lvlJc w:val="left"/>
      <w:pPr>
        <w:ind w:left="1977" w:hanging="220"/>
      </w:pPr>
      <w:rPr>
        <w:rFonts w:hint="default"/>
      </w:rPr>
    </w:lvl>
    <w:lvl w:ilvl="3" w:tentative="0">
      <w:start w:val="0"/>
      <w:numFmt w:val="bullet"/>
      <w:lvlText w:val="•"/>
      <w:lvlJc w:val="left"/>
      <w:pPr>
        <w:ind w:left="2905" w:hanging="220"/>
      </w:pPr>
      <w:rPr>
        <w:rFonts w:hint="default"/>
      </w:rPr>
    </w:lvl>
    <w:lvl w:ilvl="4" w:tentative="0">
      <w:start w:val="0"/>
      <w:numFmt w:val="bullet"/>
      <w:lvlText w:val="•"/>
      <w:lvlJc w:val="left"/>
      <w:pPr>
        <w:ind w:left="3834" w:hanging="220"/>
      </w:pPr>
      <w:rPr>
        <w:rFonts w:hint="default"/>
      </w:rPr>
    </w:lvl>
    <w:lvl w:ilvl="5" w:tentative="0">
      <w:start w:val="0"/>
      <w:numFmt w:val="bullet"/>
      <w:lvlText w:val="•"/>
      <w:lvlJc w:val="left"/>
      <w:pPr>
        <w:ind w:left="4762" w:hanging="220"/>
      </w:pPr>
      <w:rPr>
        <w:rFonts w:hint="default"/>
      </w:rPr>
    </w:lvl>
    <w:lvl w:ilvl="6" w:tentative="0">
      <w:start w:val="0"/>
      <w:numFmt w:val="bullet"/>
      <w:lvlText w:val="•"/>
      <w:lvlJc w:val="left"/>
      <w:pPr>
        <w:ind w:left="5691" w:hanging="220"/>
      </w:pPr>
      <w:rPr>
        <w:rFonts w:hint="default"/>
      </w:rPr>
    </w:lvl>
    <w:lvl w:ilvl="7" w:tentative="0">
      <w:start w:val="0"/>
      <w:numFmt w:val="bullet"/>
      <w:lvlText w:val="•"/>
      <w:lvlJc w:val="left"/>
      <w:pPr>
        <w:ind w:left="6619" w:hanging="220"/>
      </w:pPr>
      <w:rPr>
        <w:rFonts w:hint="default"/>
      </w:rPr>
    </w:lvl>
    <w:lvl w:ilvl="8" w:tentative="0">
      <w:start w:val="0"/>
      <w:numFmt w:val="bullet"/>
      <w:lvlText w:val="•"/>
      <w:lvlJc w:val="left"/>
      <w:pPr>
        <w:ind w:left="7548" w:hanging="220"/>
      </w:pPr>
      <w:rPr>
        <w:rFonts w:hint="default"/>
      </w:rPr>
    </w:lvl>
  </w:abstractNum>
  <w:abstractNum w:abstractNumId="2">
    <w:nsid w:val="0248C179"/>
    <w:multiLevelType w:val="multilevel"/>
    <w:tmpl w:val="0248C179"/>
    <w:lvl w:ilvl="0" w:tentative="0">
      <w:start w:val="1"/>
      <w:numFmt w:val="decimal"/>
      <w:lvlText w:val="%1."/>
      <w:lvlJc w:val="left"/>
      <w:pPr>
        <w:ind w:left="557" w:hanging="219"/>
        <w:jc w:val="left"/>
      </w:pPr>
      <w:rPr>
        <w:rFonts w:hint="default" w:ascii="方正书宋_GBK" w:hAnsi="方正书宋_GBK" w:eastAsia="方正书宋_GBK" w:cs="方正书宋_GBK"/>
        <w:color w:val="231F20"/>
        <w:spacing w:val="-1"/>
        <w:w w:val="21"/>
        <w:sz w:val="22"/>
        <w:szCs w:val="22"/>
      </w:rPr>
    </w:lvl>
    <w:lvl w:ilvl="1" w:tentative="0">
      <w:start w:val="0"/>
      <w:numFmt w:val="bullet"/>
      <w:lvlText w:val="•"/>
      <w:lvlJc w:val="left"/>
      <w:pPr>
        <w:ind w:left="1444" w:hanging="219"/>
      </w:pPr>
      <w:rPr>
        <w:rFonts w:hint="default"/>
      </w:rPr>
    </w:lvl>
    <w:lvl w:ilvl="2" w:tentative="0">
      <w:start w:val="0"/>
      <w:numFmt w:val="bullet"/>
      <w:lvlText w:val="•"/>
      <w:lvlJc w:val="left"/>
      <w:pPr>
        <w:ind w:left="2329" w:hanging="219"/>
      </w:pPr>
      <w:rPr>
        <w:rFonts w:hint="default"/>
      </w:rPr>
    </w:lvl>
    <w:lvl w:ilvl="3" w:tentative="0">
      <w:start w:val="0"/>
      <w:numFmt w:val="bullet"/>
      <w:lvlText w:val="•"/>
      <w:lvlJc w:val="left"/>
      <w:pPr>
        <w:ind w:left="3213" w:hanging="219"/>
      </w:pPr>
      <w:rPr>
        <w:rFonts w:hint="default"/>
      </w:rPr>
    </w:lvl>
    <w:lvl w:ilvl="4" w:tentative="0">
      <w:start w:val="0"/>
      <w:numFmt w:val="bullet"/>
      <w:lvlText w:val="•"/>
      <w:lvlJc w:val="left"/>
      <w:pPr>
        <w:ind w:left="4098" w:hanging="219"/>
      </w:pPr>
      <w:rPr>
        <w:rFonts w:hint="default"/>
      </w:rPr>
    </w:lvl>
    <w:lvl w:ilvl="5" w:tentative="0">
      <w:start w:val="0"/>
      <w:numFmt w:val="bullet"/>
      <w:lvlText w:val="•"/>
      <w:lvlJc w:val="left"/>
      <w:pPr>
        <w:ind w:left="4982" w:hanging="219"/>
      </w:pPr>
      <w:rPr>
        <w:rFonts w:hint="default"/>
      </w:rPr>
    </w:lvl>
    <w:lvl w:ilvl="6" w:tentative="0">
      <w:start w:val="0"/>
      <w:numFmt w:val="bullet"/>
      <w:lvlText w:val="•"/>
      <w:lvlJc w:val="left"/>
      <w:pPr>
        <w:ind w:left="5867" w:hanging="219"/>
      </w:pPr>
      <w:rPr>
        <w:rFonts w:hint="default"/>
      </w:rPr>
    </w:lvl>
    <w:lvl w:ilvl="7" w:tentative="0">
      <w:start w:val="0"/>
      <w:numFmt w:val="bullet"/>
      <w:lvlText w:val="•"/>
      <w:lvlJc w:val="left"/>
      <w:pPr>
        <w:ind w:left="6751" w:hanging="219"/>
      </w:pPr>
      <w:rPr>
        <w:rFonts w:hint="default"/>
      </w:rPr>
    </w:lvl>
    <w:lvl w:ilvl="8" w:tentative="0">
      <w:start w:val="0"/>
      <w:numFmt w:val="bullet"/>
      <w:lvlText w:val="•"/>
      <w:lvlJc w:val="left"/>
      <w:pPr>
        <w:ind w:left="7636" w:hanging="219"/>
      </w:pPr>
      <w:rPr>
        <w:rFonts w:hint="default"/>
      </w:rPr>
    </w:lvl>
  </w:abstractNum>
  <w:abstractNum w:abstractNumId="3">
    <w:nsid w:val="2A8F537B"/>
    <w:multiLevelType w:val="multilevel"/>
    <w:tmpl w:val="2A8F537B"/>
    <w:lvl w:ilvl="0" w:tentative="0">
      <w:start w:val="1"/>
      <w:numFmt w:val="decimal"/>
      <w:lvlText w:val="%1."/>
      <w:lvlJc w:val="left"/>
      <w:pPr>
        <w:ind w:left="11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9"/>
      </w:pPr>
      <w:rPr>
        <w:rFonts w:hint="default"/>
      </w:rPr>
    </w:lvl>
    <w:lvl w:ilvl="2" w:tentative="0">
      <w:start w:val="0"/>
      <w:numFmt w:val="bullet"/>
      <w:lvlText w:val="•"/>
      <w:lvlJc w:val="left"/>
      <w:pPr>
        <w:ind w:left="1977" w:hanging="219"/>
      </w:pPr>
      <w:rPr>
        <w:rFonts w:hint="default"/>
      </w:rPr>
    </w:lvl>
    <w:lvl w:ilvl="3" w:tentative="0">
      <w:start w:val="0"/>
      <w:numFmt w:val="bullet"/>
      <w:lvlText w:val="•"/>
      <w:lvlJc w:val="left"/>
      <w:pPr>
        <w:ind w:left="2905" w:hanging="219"/>
      </w:pPr>
      <w:rPr>
        <w:rFonts w:hint="default"/>
      </w:rPr>
    </w:lvl>
    <w:lvl w:ilvl="4" w:tentative="0">
      <w:start w:val="0"/>
      <w:numFmt w:val="bullet"/>
      <w:lvlText w:val="•"/>
      <w:lvlJc w:val="left"/>
      <w:pPr>
        <w:ind w:left="3834" w:hanging="219"/>
      </w:pPr>
      <w:rPr>
        <w:rFonts w:hint="default"/>
      </w:rPr>
    </w:lvl>
    <w:lvl w:ilvl="5" w:tentative="0">
      <w:start w:val="0"/>
      <w:numFmt w:val="bullet"/>
      <w:lvlText w:val="•"/>
      <w:lvlJc w:val="left"/>
      <w:pPr>
        <w:ind w:left="4762" w:hanging="219"/>
      </w:pPr>
      <w:rPr>
        <w:rFonts w:hint="default"/>
      </w:rPr>
    </w:lvl>
    <w:lvl w:ilvl="6" w:tentative="0">
      <w:start w:val="0"/>
      <w:numFmt w:val="bullet"/>
      <w:lvlText w:val="•"/>
      <w:lvlJc w:val="left"/>
      <w:pPr>
        <w:ind w:left="5691" w:hanging="219"/>
      </w:pPr>
      <w:rPr>
        <w:rFonts w:hint="default"/>
      </w:rPr>
    </w:lvl>
    <w:lvl w:ilvl="7" w:tentative="0">
      <w:start w:val="0"/>
      <w:numFmt w:val="bullet"/>
      <w:lvlText w:val="•"/>
      <w:lvlJc w:val="left"/>
      <w:pPr>
        <w:ind w:left="6619" w:hanging="219"/>
      </w:pPr>
      <w:rPr>
        <w:rFonts w:hint="default"/>
      </w:rPr>
    </w:lvl>
    <w:lvl w:ilvl="8" w:tentative="0">
      <w:start w:val="0"/>
      <w:numFmt w:val="bullet"/>
      <w:lvlText w:val="•"/>
      <w:lvlJc w:val="left"/>
      <w:pPr>
        <w:ind w:left="7548" w:hanging="219"/>
      </w:pPr>
      <w:rPr>
        <w:rFonts w:hint="default"/>
      </w:rPr>
    </w:lvl>
  </w:abstractNum>
  <w:abstractNum w:abstractNumId="4">
    <w:nsid w:val="5A241D34"/>
    <w:multiLevelType w:val="multilevel"/>
    <w:tmpl w:val="5A241D34"/>
    <w:lvl w:ilvl="0" w:tentative="0">
      <w:start w:val="1"/>
      <w:numFmt w:val="decimal"/>
      <w:lvlText w:val="%1."/>
      <w:lvlJc w:val="left"/>
      <w:pPr>
        <w:ind w:left="117" w:hanging="221"/>
        <w:jc w:val="left"/>
      </w:pPr>
      <w:rPr>
        <w:rFonts w:hint="default" w:ascii="方正书宋_GBK" w:hAnsi="方正书宋_GBK" w:eastAsia="方正书宋_GBK" w:cs="方正书宋_GBK"/>
        <w:color w:val="231F20"/>
        <w:w w:val="100"/>
        <w:sz w:val="22"/>
        <w:szCs w:val="22"/>
      </w:rPr>
    </w:lvl>
    <w:lvl w:ilvl="1" w:tentative="0">
      <w:start w:val="0"/>
      <w:numFmt w:val="bullet"/>
      <w:lvlText w:val="•"/>
      <w:lvlJc w:val="left"/>
      <w:pPr>
        <w:ind w:left="1048" w:hanging="221"/>
      </w:pPr>
      <w:rPr>
        <w:rFonts w:hint="default"/>
      </w:rPr>
    </w:lvl>
    <w:lvl w:ilvl="2" w:tentative="0">
      <w:start w:val="0"/>
      <w:numFmt w:val="bullet"/>
      <w:lvlText w:val="•"/>
      <w:lvlJc w:val="left"/>
      <w:pPr>
        <w:ind w:left="1977" w:hanging="221"/>
      </w:pPr>
      <w:rPr>
        <w:rFonts w:hint="default"/>
      </w:rPr>
    </w:lvl>
    <w:lvl w:ilvl="3" w:tentative="0">
      <w:start w:val="0"/>
      <w:numFmt w:val="bullet"/>
      <w:lvlText w:val="•"/>
      <w:lvlJc w:val="left"/>
      <w:pPr>
        <w:ind w:left="2905" w:hanging="221"/>
      </w:pPr>
      <w:rPr>
        <w:rFonts w:hint="default"/>
      </w:rPr>
    </w:lvl>
    <w:lvl w:ilvl="4" w:tentative="0">
      <w:start w:val="0"/>
      <w:numFmt w:val="bullet"/>
      <w:lvlText w:val="•"/>
      <w:lvlJc w:val="left"/>
      <w:pPr>
        <w:ind w:left="3834" w:hanging="221"/>
      </w:pPr>
      <w:rPr>
        <w:rFonts w:hint="default"/>
      </w:rPr>
    </w:lvl>
    <w:lvl w:ilvl="5" w:tentative="0">
      <w:start w:val="0"/>
      <w:numFmt w:val="bullet"/>
      <w:lvlText w:val="•"/>
      <w:lvlJc w:val="left"/>
      <w:pPr>
        <w:ind w:left="4762" w:hanging="221"/>
      </w:pPr>
      <w:rPr>
        <w:rFonts w:hint="default"/>
      </w:rPr>
    </w:lvl>
    <w:lvl w:ilvl="6" w:tentative="0">
      <w:start w:val="0"/>
      <w:numFmt w:val="bullet"/>
      <w:lvlText w:val="•"/>
      <w:lvlJc w:val="left"/>
      <w:pPr>
        <w:ind w:left="5691" w:hanging="221"/>
      </w:pPr>
      <w:rPr>
        <w:rFonts w:hint="default"/>
      </w:rPr>
    </w:lvl>
    <w:lvl w:ilvl="7" w:tentative="0">
      <w:start w:val="0"/>
      <w:numFmt w:val="bullet"/>
      <w:lvlText w:val="•"/>
      <w:lvlJc w:val="left"/>
      <w:pPr>
        <w:ind w:left="6619" w:hanging="221"/>
      </w:pPr>
      <w:rPr>
        <w:rFonts w:hint="default"/>
      </w:rPr>
    </w:lvl>
    <w:lvl w:ilvl="8" w:tentative="0">
      <w:start w:val="0"/>
      <w:numFmt w:val="bullet"/>
      <w:lvlText w:val="•"/>
      <w:lvlJc w:val="left"/>
      <w:pPr>
        <w:ind w:left="7548" w:hanging="221"/>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ZGY1OTlmOTQ5MmM5YTQ3NTA1YjVlYTNiMTg2MGE5M2IifQ=="/>
  </w:docVars>
  <w:rsids>
    <w:rsidRoot w:val="00000000"/>
    <w:rsid w:val="06A83220"/>
    <w:rsid w:val="08A13C26"/>
    <w:rsid w:val="13F310AE"/>
    <w:rsid w:val="22C500B9"/>
    <w:rsid w:val="26591245"/>
    <w:rsid w:val="2734580E"/>
    <w:rsid w:val="31EF0CAF"/>
    <w:rsid w:val="39094D4C"/>
    <w:rsid w:val="396E270C"/>
    <w:rsid w:val="47F95486"/>
    <w:rsid w:val="48335942"/>
    <w:rsid w:val="4F806F93"/>
    <w:rsid w:val="5F992284"/>
    <w:rsid w:val="61587F5F"/>
    <w:rsid w:val="699851AD"/>
    <w:rsid w:val="7BA614C8"/>
    <w:rsid w:val="7E380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2">
    <w:name w:val="heading 1"/>
    <w:basedOn w:val="1"/>
    <w:qFormat/>
    <w:uiPriority w:val="1"/>
    <w:pPr>
      <w:spacing w:before="1"/>
      <w:ind w:left="2955" w:right="2955"/>
      <w:jc w:val="center"/>
      <w:outlineLvl w:val="1"/>
    </w:pPr>
    <w:rPr>
      <w:rFonts w:ascii="方正楷体_GBK" w:hAnsi="方正楷体_GBK" w:eastAsia="方正楷体_GBK" w:cs="方正楷体_GBK"/>
      <w:sz w:val="28"/>
      <w:szCs w:val="28"/>
    </w:rPr>
  </w:style>
  <w:style w:type="paragraph" w:styleId="3">
    <w:name w:val="heading 2"/>
    <w:basedOn w:val="1"/>
    <w:qFormat/>
    <w:uiPriority w:val="1"/>
    <w:pPr>
      <w:ind w:left="177"/>
      <w:outlineLvl w:val="2"/>
    </w:pPr>
    <w:rPr>
      <w:rFonts w:ascii="方正黑体_GBK" w:hAnsi="方正黑体_GBK" w:eastAsia="方正黑体_GBK" w:cs="方正黑体_GBK"/>
      <w:sz w:val="26"/>
      <w:szCs w:val="26"/>
    </w:rPr>
  </w:style>
  <w:style w:type="paragraph" w:styleId="4">
    <w:name w:val="heading 3"/>
    <w:basedOn w:val="1"/>
    <w:qFormat/>
    <w:uiPriority w:val="1"/>
    <w:pPr>
      <w:ind w:right="98"/>
      <w:jc w:val="center"/>
      <w:outlineLvl w:val="3"/>
    </w:pPr>
    <w:rPr>
      <w:rFonts w:ascii="方正黑体_GBK" w:hAnsi="方正黑体_GBK" w:eastAsia="方正黑体_GBK" w:cs="方正黑体_GBK"/>
      <w:sz w:val="24"/>
      <w:szCs w:val="24"/>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书宋_GBK" w:hAnsi="方正书宋_GBK" w:eastAsia="方正书宋_GBK" w:cs="方正书宋_GBK"/>
      <w:sz w:val="22"/>
      <w:szCs w:val="2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09"/>
      <w:ind w:left="117" w:hanging="218"/>
    </w:pPr>
    <w:rPr>
      <w:rFonts w:ascii="方正书宋_GBK" w:hAnsi="方正书宋_GBK" w:eastAsia="方正书宋_GBK" w:cs="方正书宋_GBK"/>
    </w:rPr>
  </w:style>
  <w:style w:type="paragraph" w:customStyle="1" w:styleId="10">
    <w:name w:val="Table Paragraph"/>
    <w:basedOn w:val="1"/>
    <w:qFormat/>
    <w:uiPriority w:val="1"/>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2255</Words>
  <Characters>2278</Characters>
  <TotalTime>1</TotalTime>
  <ScaleCrop>false</ScaleCrop>
  <LinksUpToDate>false</LinksUpToDate>
  <CharactersWithSpaces>2570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zcw</dc:creator>
  <cp:lastModifiedBy>门学孟</cp:lastModifiedBy>
  <dcterms:modified xsi:type="dcterms:W3CDTF">2025-02-10T05:57:02Z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2052-12.1.0.19302</vt:lpwstr>
  </property>
  <property fmtid="{D5CDD505-2E9C-101B-9397-08002B2CF9AE}" pid="6" name="ICV">
    <vt:lpwstr>F33C6C928373475194D5906A85D394BE_12</vt:lpwstr>
  </property>
  <property fmtid="{D5CDD505-2E9C-101B-9397-08002B2CF9AE}" pid="7" name="KSOTemplateDocerSaveRecord">
    <vt:lpwstr>eyJoZGlkIjoiY2I1NWQ5MWJlMzAwM2E2Zjk2NzdlMThkNGMzNDE4MjgiLCJ1c2VySWQiOiIyNDE0NzM0NTUifQ==</vt:lpwstr>
  </property>
</Properties>
</file>