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A37CD">
      <w:pPr>
        <w:keepNext w:val="0"/>
        <w:keepLines w:val="0"/>
        <w:pageBreakBefore w:val="0"/>
        <w:widowControl w:val="0"/>
        <w:kinsoku/>
        <w:wordWrap/>
        <w:overflowPunct w:val="0"/>
        <w:topLinePunct w:val="0"/>
        <w:autoSpaceDE/>
        <w:autoSpaceDN/>
        <w:bidi w:val="0"/>
        <w:adjustRightInd w:val="0"/>
        <w:snapToGrid w:val="0"/>
        <w:spacing w:before="0" w:beforeLines="0" w:after="0" w:afterLines="0" w:line="560" w:lineRule="exact"/>
        <w:ind w:firstLine="0" w:firstLineChars="0"/>
        <w:jc w:val="center"/>
        <w:textAlignment w:val="auto"/>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绵阳仲裁委员会                                                 </w:t>
      </w:r>
      <w:r>
        <w:rPr>
          <w:rFonts w:hint="eastAsia" w:ascii="方正小标宋简体" w:hAnsi="方正小标宋简体" w:eastAsia="方正小标宋简体" w:cs="方正小标宋简体"/>
          <w:spacing w:val="-23"/>
          <w:w w:val="100"/>
          <w:sz w:val="44"/>
          <w:szCs w:val="44"/>
          <w:lang w:val="en-US" w:eastAsia="zh-CN"/>
        </w:rPr>
        <w:t>关于</w:t>
      </w:r>
      <w:r>
        <w:rPr>
          <w:rFonts w:hint="default" w:ascii="Times New Roman" w:hAnsi="Times New Roman" w:eastAsia="方正小标宋简体" w:cs="Times New Roman"/>
          <w:spacing w:val="-23"/>
          <w:w w:val="100"/>
          <w:sz w:val="44"/>
          <w:szCs w:val="44"/>
          <w:lang w:val="en-US" w:eastAsia="zh-CN"/>
        </w:rPr>
        <w:t>2025</w:t>
      </w:r>
      <w:r>
        <w:rPr>
          <w:rFonts w:hint="eastAsia" w:ascii="方正小标宋简体" w:hAnsi="方正小标宋简体" w:eastAsia="方正小标宋简体" w:cs="方正小标宋简体"/>
          <w:spacing w:val="-23"/>
          <w:w w:val="100"/>
          <w:sz w:val="44"/>
          <w:szCs w:val="44"/>
          <w:lang w:val="en-US" w:eastAsia="zh-CN"/>
        </w:rPr>
        <w:t>年度工作总结和</w:t>
      </w:r>
      <w:r>
        <w:rPr>
          <w:rFonts w:hint="default" w:ascii="Times New Roman" w:hAnsi="Times New Roman" w:eastAsia="方正小标宋简体" w:cs="Times New Roman"/>
          <w:spacing w:val="-23"/>
          <w:w w:val="100"/>
          <w:sz w:val="44"/>
          <w:szCs w:val="44"/>
          <w:lang w:val="en-US" w:eastAsia="zh-CN"/>
        </w:rPr>
        <w:t>2026</w:t>
      </w:r>
      <w:r>
        <w:rPr>
          <w:rFonts w:hint="eastAsia" w:ascii="方正小标宋简体" w:hAnsi="方正小标宋简体" w:eastAsia="方正小标宋简体" w:cs="方正小标宋简体"/>
          <w:spacing w:val="-23"/>
          <w:w w:val="100"/>
          <w:sz w:val="44"/>
          <w:szCs w:val="44"/>
          <w:lang w:val="en-US" w:eastAsia="zh-CN"/>
        </w:rPr>
        <w:t>年度工作要点的报告</w:t>
      </w:r>
    </w:p>
    <w:p w14:paraId="689AF79E">
      <w:pPr>
        <w:keepNext w:val="0"/>
        <w:keepLines w:val="0"/>
        <w:pageBreakBefore w:val="0"/>
        <w:widowControl w:val="0"/>
        <w:kinsoku/>
        <w:wordWrap/>
        <w:overflowPunct/>
        <w:topLinePunct w:val="0"/>
        <w:autoSpaceDE/>
        <w:autoSpaceDN/>
        <w:bidi w:val="0"/>
        <w:adjustRightInd/>
        <w:snapToGrid/>
        <w:spacing w:beforeLines="0" w:line="58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14:paraId="0A4926EB">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jc w:val="left"/>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仿宋_GB2312" w:cs="Times New Roman"/>
          <w:kern w:val="0"/>
          <w:sz w:val="32"/>
          <w:szCs w:val="32"/>
          <w:lang w:val="en-US" w:eastAsia="zh-CN"/>
        </w:rPr>
        <w:t>2025</w:t>
      </w:r>
      <w:r>
        <w:rPr>
          <w:rFonts w:hint="eastAsia" w:ascii="仿宋_GB2312" w:hAnsi="仿宋_GB2312" w:eastAsia="仿宋_GB2312" w:cs="仿宋_GB2312"/>
          <w:kern w:val="0"/>
          <w:sz w:val="32"/>
          <w:szCs w:val="32"/>
          <w:lang w:val="en-US" w:eastAsia="zh-CN"/>
        </w:rPr>
        <w:t>年，绵阳仲裁委员会（以下简称绵仲）坚定以习近平新时代中国特色社会主义思想为指导，立足仲裁职能，夯实仲裁工作基础，开拓创新，深度融入成渝地区双城经济圈建设，着力打造与中国科技城、省域经济副中心建设相配套的仲裁环境和中西部地区仲裁优选地，</w:t>
      </w:r>
      <w:r>
        <w:rPr>
          <w:rFonts w:hint="eastAsia" w:ascii="仿宋_GB2312" w:hAnsi="仿宋_GB2312" w:eastAsia="仿宋_GB2312" w:cs="仿宋_GB2312"/>
          <w:kern w:val="0"/>
          <w:sz w:val="32"/>
          <w:szCs w:val="32"/>
          <w:highlight w:val="none"/>
          <w:lang w:val="en-US" w:eastAsia="zh-CN"/>
        </w:rPr>
        <w:t>当选为中国仲裁法学研究会第五届理事会理事单位。</w:t>
      </w:r>
      <w:r>
        <w:rPr>
          <w:rFonts w:hint="eastAsia" w:ascii="仿宋_GB2312" w:hAnsi="仿宋_GB2312" w:eastAsia="仿宋_GB2312" w:cs="仿宋_GB2312"/>
          <w:kern w:val="0"/>
          <w:sz w:val="32"/>
          <w:szCs w:val="32"/>
          <w:lang w:val="en-US" w:eastAsia="zh-CN"/>
        </w:rPr>
        <w:t>本年度案件总争议金额较上年度增势强劲，立案和办案质效稳步提升，宣传拓展研究工作稳妥推进，内部管理服务水平持续优化。现</w:t>
      </w:r>
      <w:r>
        <w:rPr>
          <w:rFonts w:hint="eastAsia" w:ascii="仿宋_GB2312" w:hAnsi="仿宋_GB2312" w:cs="仿宋_GB2312"/>
          <w:kern w:val="0"/>
          <w:sz w:val="32"/>
          <w:szCs w:val="32"/>
          <w:lang w:val="en-US" w:eastAsia="zh-CN"/>
        </w:rPr>
        <w:t>将</w:t>
      </w:r>
      <w:r>
        <w:rPr>
          <w:rFonts w:hint="default" w:ascii="Times New Roman" w:hAnsi="Times New Roman" w:eastAsia="仿宋_GB2312" w:cs="Times New Roman"/>
          <w:kern w:val="0"/>
          <w:sz w:val="32"/>
          <w:szCs w:val="32"/>
          <w:lang w:val="en-US" w:eastAsia="zh-CN"/>
        </w:rPr>
        <w:t>2025</w:t>
      </w:r>
      <w:r>
        <w:rPr>
          <w:rFonts w:hint="eastAsia" w:ascii="Times New Roman" w:hAnsi="Times New Roman" w:eastAsia="仿宋_GB2312" w:cs="Times New Roman"/>
          <w:kern w:val="0"/>
          <w:sz w:val="32"/>
          <w:szCs w:val="32"/>
          <w:lang w:val="en-US" w:eastAsia="zh-CN"/>
        </w:rPr>
        <w:t>年度工作总结和</w:t>
      </w:r>
      <w:r>
        <w:rPr>
          <w:rFonts w:hint="default" w:ascii="Times New Roman" w:hAnsi="Times New Roman" w:eastAsia="仿宋_GB2312" w:cs="Times New Roman"/>
          <w:kern w:val="0"/>
          <w:sz w:val="32"/>
          <w:szCs w:val="32"/>
          <w:lang w:val="en-US" w:eastAsia="zh-CN"/>
        </w:rPr>
        <w:t>2026</w:t>
      </w:r>
      <w:r>
        <w:rPr>
          <w:rFonts w:hint="eastAsia" w:ascii="Times New Roman" w:hAnsi="Times New Roman" w:eastAsia="仿宋_GB2312" w:cs="Times New Roman"/>
          <w:kern w:val="0"/>
          <w:sz w:val="32"/>
          <w:szCs w:val="32"/>
          <w:lang w:val="en-US" w:eastAsia="zh-CN"/>
        </w:rPr>
        <w:t>年度工作要点报告如下：</w:t>
      </w:r>
    </w:p>
    <w:p w14:paraId="3BC9A4FA">
      <w:pPr>
        <w:pStyle w:val="6"/>
        <w:keepNext w:val="0"/>
        <w:keepLines w:val="0"/>
        <w:pageBreakBefore w:val="0"/>
        <w:widowControl w:val="0"/>
        <w:kinsoku/>
        <w:wordWrap/>
        <w:topLinePunct w:val="0"/>
        <w:autoSpaceDE/>
        <w:autoSpaceDN/>
        <w:bidi w:val="0"/>
        <w:adjustRightInd w:val="0"/>
        <w:snapToGrid w:val="0"/>
        <w:spacing w:line="580" w:lineRule="exact"/>
        <w:textAlignment w:val="auto"/>
        <w:outlineLvl w:val="0"/>
        <w:rPr>
          <w:rStyle w:val="11"/>
          <w:rFonts w:hint="default" w:ascii="黑体" w:hAnsi="黑体" w:eastAsia="黑体" w:cs="黑体"/>
          <w:b w:val="0"/>
          <w:bCs w:val="0"/>
          <w:color w:val="101010"/>
          <w:shd w:val="clear" w:fill="FFFFFF"/>
          <w:lang w:val="en-US" w:eastAsia="zh-CN"/>
        </w:rPr>
      </w:pPr>
      <w:r>
        <w:rPr>
          <w:rStyle w:val="11"/>
          <w:rFonts w:ascii="黑体" w:hAnsi="黑体" w:eastAsia="黑体" w:cs="黑体"/>
          <w:b w:val="0"/>
          <w:bCs w:val="0"/>
          <w:color w:val="101010"/>
          <w:shd w:val="clear" w:fill="FFFFFF"/>
        </w:rPr>
        <w:t>一、</w:t>
      </w:r>
      <w:r>
        <w:rPr>
          <w:rStyle w:val="11"/>
          <w:rFonts w:hint="eastAsia" w:ascii="黑体" w:hAnsi="黑体" w:eastAsia="黑体" w:cs="黑体"/>
          <w:b w:val="0"/>
          <w:bCs w:val="0"/>
          <w:color w:val="101010"/>
          <w:shd w:val="clear" w:fill="FFFFFF"/>
          <w:lang w:val="en-US" w:eastAsia="zh-CN"/>
        </w:rPr>
        <w:t>党建与业务深度融合，筑牢政治根基</w:t>
      </w:r>
    </w:p>
    <w:p w14:paraId="4C27AEEB">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ascii="仿宋_GB2312" w:hAnsi="仿宋_GB2312" w:cs="仿宋_GB2312"/>
          <w:lang w:val="en-US" w:eastAsia="zh-CN"/>
        </w:rPr>
      </w:pPr>
      <w:r>
        <w:rPr>
          <w:rFonts w:hint="eastAsia" w:ascii="仿宋_GB2312" w:hAnsi="仿宋_GB2312" w:eastAsia="仿宋_GB2312" w:cs="仿宋_GB2312"/>
          <w:lang w:val="en-US" w:eastAsia="zh-CN"/>
        </w:rPr>
        <w:t>绵仲</w:t>
      </w:r>
      <w:r>
        <w:rPr>
          <w:rFonts w:hint="eastAsia" w:ascii="仿宋_GB2312" w:hAnsi="仿宋_GB2312" w:eastAsia="仿宋_GB2312" w:cs="仿宋_GB2312"/>
        </w:rPr>
        <w:t>坚持政治引领仲裁工作</w:t>
      </w:r>
      <w:r>
        <w:rPr>
          <w:rFonts w:hint="eastAsia" w:ascii="仿宋_GB2312" w:hAnsi="仿宋_GB2312" w:eastAsia="仿宋_GB2312" w:cs="仿宋_GB2312"/>
          <w:lang w:eastAsia="zh-CN"/>
        </w:rPr>
        <w:t>，</w:t>
      </w:r>
      <w:r>
        <w:rPr>
          <w:rFonts w:hint="eastAsia" w:ascii="仿宋_GB2312" w:hAnsi="仿宋_GB2312" w:eastAsia="仿宋_GB2312" w:cs="仿宋_GB2312"/>
        </w:rPr>
        <w:t>不断提高政治站位。</w:t>
      </w:r>
      <w:r>
        <w:rPr>
          <w:rFonts w:hint="eastAsia" w:ascii="仿宋_GB2312" w:hAnsi="仿宋_GB2312" w:eastAsia="仿宋_GB2312" w:cs="仿宋_GB2312"/>
          <w:lang w:val="en-US" w:eastAsia="zh-CN"/>
        </w:rPr>
        <w:t>绵阳仲裁委</w:t>
      </w:r>
      <w:r>
        <w:rPr>
          <w:rFonts w:hint="eastAsia" w:ascii="仿宋_GB2312" w:hAnsi="仿宋_GB2312" w:eastAsia="仿宋_GB2312" w:cs="仿宋_GB2312"/>
        </w:rPr>
        <w:t>党支部除了开展“三会一课”等日常党务工作之外，还集中学习了党的二十</w:t>
      </w:r>
      <w:r>
        <w:rPr>
          <w:rFonts w:hint="eastAsia" w:ascii="仿宋_GB2312" w:hAnsi="仿宋_GB2312" w:eastAsia="仿宋_GB2312" w:cs="仿宋_GB2312"/>
          <w:lang w:val="en-US" w:eastAsia="zh-CN"/>
        </w:rPr>
        <w:t>届四中全会</w:t>
      </w:r>
      <w:r>
        <w:rPr>
          <w:rFonts w:hint="eastAsia" w:ascii="仿宋_GB2312" w:hAnsi="仿宋_GB2312" w:cs="仿宋_GB2312"/>
          <w:lang w:val="en-US" w:eastAsia="zh-CN"/>
        </w:rPr>
        <w:t>等会议报告</w:t>
      </w:r>
      <w:r>
        <w:rPr>
          <w:rFonts w:hint="eastAsia" w:ascii="仿宋_GB2312" w:hAnsi="仿宋_GB2312" w:eastAsia="仿宋_GB2312" w:cs="仿宋_GB2312"/>
        </w:rPr>
        <w:t>，</w:t>
      </w:r>
      <w:r>
        <w:rPr>
          <w:rFonts w:hint="eastAsia" w:ascii="仿宋_GB2312" w:hAnsi="仿宋_GB2312" w:cs="仿宋_GB2312"/>
          <w:lang w:val="en-US" w:eastAsia="zh-CN"/>
        </w:rPr>
        <w:t>深入贯彻中央八项规定精神学习教育，</w:t>
      </w:r>
      <w:r>
        <w:rPr>
          <w:rFonts w:hint="eastAsia" w:ascii="仿宋_GB2312" w:hAnsi="仿宋_GB2312" w:eastAsia="仿宋_GB2312" w:cs="仿宋_GB2312"/>
        </w:rPr>
        <w:t>并先后开展多次主题党日活动，取得了良好的效果。</w:t>
      </w:r>
      <w:r>
        <w:rPr>
          <w:rFonts w:hint="default" w:ascii="Times New Roman" w:hAnsi="Times New Roman" w:cs="Times New Roman"/>
          <w:lang w:val="en-US" w:eastAsia="zh-CN"/>
        </w:rPr>
        <w:t>2025年6月</w:t>
      </w:r>
      <w:r>
        <w:rPr>
          <w:rFonts w:hint="eastAsia" w:ascii="仿宋_GB2312" w:hAnsi="仿宋_GB2312" w:cs="仿宋_GB2312"/>
          <w:lang w:val="en-US" w:eastAsia="zh-CN"/>
        </w:rPr>
        <w:t>顺利完成支部换届工作。日常业务</w:t>
      </w:r>
      <w:r>
        <w:rPr>
          <w:rFonts w:hint="eastAsia" w:ascii="仿宋_GB2312" w:hAnsi="仿宋_GB2312" w:eastAsia="仿宋_GB2312" w:cs="仿宋_GB2312"/>
        </w:rPr>
        <w:t>找准找实党建与仲裁业务工作深度融合点，探索党建赋能仲裁事业高质量发展。强化党员干部“打头阵、当先锋、抓落实”意识，选派政治素养高、专业素质强的党员仲裁秘书承办大案、难案；设立党员先锋岗，将思想政治好，业务能力强的党员同志安排到重要的岗位上。组建服务团队开展“仲裁进企业”“仲裁进行业”“仲裁进机关”的“一对一”走访活动，走访对象涵盖绵阳地区的政府部门、企事业单位、商会、协会、律所等</w:t>
      </w:r>
      <w:r>
        <w:rPr>
          <w:rFonts w:hint="eastAsia" w:ascii="仿宋_GB2312" w:hAnsi="仿宋_GB2312" w:cs="仿宋_GB2312"/>
          <w:lang w:eastAsia="zh-CN"/>
        </w:rPr>
        <w:t>。</w:t>
      </w:r>
      <w:r>
        <w:rPr>
          <w:rFonts w:hint="default" w:ascii="Times New Roman" w:hAnsi="Times New Roman" w:cs="Times New Roman"/>
          <w:lang w:val="en-US" w:eastAsia="zh-CN"/>
        </w:rPr>
        <w:t>2025年6月，</w:t>
      </w:r>
      <w:r>
        <w:rPr>
          <w:rFonts w:hint="eastAsia" w:ascii="仿宋_GB2312" w:hAnsi="仿宋_GB2312" w:cs="仿宋_GB2312"/>
          <w:lang w:val="en-US" w:eastAsia="zh-CN"/>
        </w:rPr>
        <w:t>走进绵阳市中心社会福利院，展现绵仲对老年群体的关爱和社会担当，也为党建与公益事业融合搭建新平台。</w:t>
      </w:r>
      <w:r>
        <w:rPr>
          <w:rFonts w:hint="eastAsia" w:ascii="Times New Roman" w:hAnsi="Times New Roman" w:eastAsia="仿宋_GB2312" w:cs="Times New Roman"/>
        </w:rPr>
        <w:t>2025</w:t>
      </w:r>
      <w:r>
        <w:rPr>
          <w:rFonts w:hint="eastAsia" w:ascii="仿宋_GB2312" w:hAnsi="仿宋_GB2312" w:eastAsia="仿宋_GB2312" w:cs="仿宋_GB2312"/>
        </w:rPr>
        <w:t>年</w:t>
      </w:r>
      <w:r>
        <w:rPr>
          <w:rFonts w:hint="default" w:ascii="Times New Roman" w:hAnsi="Times New Roman" w:eastAsia="仿宋_GB2312" w:cs="Times New Roman"/>
        </w:rPr>
        <w:t>7</w:t>
      </w:r>
      <w:r>
        <w:rPr>
          <w:rFonts w:hint="eastAsia" w:ascii="仿宋_GB2312" w:hAnsi="仿宋_GB2312" w:eastAsia="仿宋_GB2312" w:cs="仿宋_GB2312"/>
        </w:rPr>
        <w:t>月</w:t>
      </w:r>
      <w:r>
        <w:rPr>
          <w:rFonts w:hint="eastAsia" w:ascii="仿宋_GB2312" w:hAnsi="仿宋_GB2312" w:eastAsia="仿宋_GB2312" w:cs="仿宋_GB2312"/>
          <w:lang w:eastAsia="zh-CN"/>
        </w:rPr>
        <w:t>，</w:t>
      </w:r>
      <w:r>
        <w:rPr>
          <w:rFonts w:hint="eastAsia" w:ascii="仿宋_GB2312" w:hAnsi="仿宋_GB2312" w:eastAsia="仿宋_GB2312" w:cs="仿宋_GB2312"/>
        </w:rPr>
        <w:t>绵阳仲裁委党支部被评为“先进基层党支部”。</w:t>
      </w:r>
    </w:p>
    <w:p w14:paraId="03D99992">
      <w:pPr>
        <w:pStyle w:val="6"/>
        <w:keepNext w:val="0"/>
        <w:keepLines w:val="0"/>
        <w:pageBreakBefore w:val="0"/>
        <w:widowControl w:val="0"/>
        <w:kinsoku/>
        <w:wordWrap/>
        <w:topLinePunct w:val="0"/>
        <w:autoSpaceDE/>
        <w:autoSpaceDN/>
        <w:bidi w:val="0"/>
        <w:adjustRightInd w:val="0"/>
        <w:snapToGrid w:val="0"/>
        <w:spacing w:line="580" w:lineRule="exact"/>
        <w:textAlignment w:val="auto"/>
        <w:outlineLvl w:val="0"/>
        <w:rPr>
          <w:rFonts w:hint="default" w:ascii="黑体" w:hAnsi="黑体" w:eastAsia="黑体" w:cs="黑体"/>
          <w:b w:val="0"/>
          <w:bCs w:val="0"/>
          <w:szCs w:val="32"/>
          <w:lang w:val="en-US" w:eastAsia="zh-CN"/>
        </w:rPr>
      </w:pPr>
      <w:r>
        <w:rPr>
          <w:rFonts w:hint="eastAsia" w:ascii="黑体" w:hAnsi="黑体" w:eastAsia="黑体" w:cs="黑体"/>
          <w:b w:val="0"/>
          <w:bCs w:val="0"/>
          <w:kern w:val="0"/>
          <w:sz w:val="32"/>
          <w:szCs w:val="32"/>
          <w:lang w:val="en-US" w:eastAsia="zh-CN"/>
        </w:rPr>
        <w:t>二、</w:t>
      </w:r>
      <w:r>
        <w:rPr>
          <w:rStyle w:val="11"/>
          <w:rFonts w:hint="eastAsia" w:ascii="黑体" w:hAnsi="黑体" w:eastAsia="黑体" w:cs="黑体"/>
          <w:b w:val="0"/>
          <w:bCs w:val="0"/>
          <w:i w:val="0"/>
          <w:iCs w:val="0"/>
          <w:caps w:val="0"/>
          <w:color w:val="101010"/>
          <w:spacing w:val="0"/>
          <w:sz w:val="32"/>
          <w:szCs w:val="32"/>
          <w:shd w:val="clear" w:fill="FFFFFF"/>
          <w:lang w:val="en-US" w:eastAsia="zh-CN"/>
        </w:rPr>
        <w:t>质量与效率成果突出，凸显硬核实力</w:t>
      </w:r>
    </w:p>
    <w:p w14:paraId="63988A43">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本年度（截至2025年12月31日）共受理案件530件，受案标的为20.95亿元，标的额同比增长30%；结案536件，结案标的额为25.54亿元，标的额同比增长111%，案件总争议金额较上年度增势强劲。</w:t>
      </w:r>
    </w:p>
    <w:p w14:paraId="6EE4BF58">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坚持推进基层治理现代化，破解基层社会治理难题，“仲裁+”多元化纠纷解决机制取得丰硕成果。本年度立案前成功调解20件；仲调对接案件17件，仲裁中调解案件192件，通过调解结案争议金额达9.17亿元。</w:t>
      </w:r>
    </w:p>
    <w:p w14:paraId="37D4AE8C">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本年度案件主要类型为：建设工程类合同纠纷99件、物业服务合同纠纷94件、房屋买卖合同纠纷72件、买卖合同纠纷47件、租赁合同纠纷27件、民间借贷纠纷27件、委托合同12件、追偿权11件、其他合同纠纷135件。其中适用普通程序审理的案件为139件，简易程序为386件。</w:t>
      </w:r>
    </w:p>
    <w:p w14:paraId="58203733">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本年度案件立案至结案平均时长72.79天/件；组庭至结案平均时长51.28天/件。组织专家咨询会1次。有1份裁决被撤销，0份裁决被不予执行。</w:t>
      </w:r>
    </w:p>
    <w:p w14:paraId="4D903041">
      <w:pPr>
        <w:pStyle w:val="6"/>
        <w:keepNext w:val="0"/>
        <w:keepLines w:val="0"/>
        <w:pageBreakBefore w:val="0"/>
        <w:widowControl w:val="0"/>
        <w:kinsoku/>
        <w:wordWrap/>
        <w:topLinePunct w:val="0"/>
        <w:autoSpaceDE/>
        <w:autoSpaceDN/>
        <w:bidi w:val="0"/>
        <w:adjustRightInd w:val="0"/>
        <w:snapToGrid w:val="0"/>
        <w:spacing w:line="580" w:lineRule="exact"/>
        <w:textAlignment w:val="auto"/>
        <w:outlineLvl w:val="0"/>
        <w:rPr>
          <w:rStyle w:val="11"/>
          <w:rFonts w:hint="default" w:ascii="黑体" w:hAnsi="黑体" w:eastAsia="黑体" w:cs="黑体"/>
          <w:b w:val="0"/>
          <w:bCs w:val="0"/>
          <w:i w:val="0"/>
          <w:iCs w:val="0"/>
          <w:caps w:val="0"/>
          <w:color w:val="101010"/>
          <w:spacing w:val="0"/>
          <w:sz w:val="32"/>
          <w:szCs w:val="32"/>
          <w:shd w:val="clear" w:fill="FFFFFF"/>
          <w:lang w:val="en-US" w:eastAsia="zh-CN"/>
        </w:rPr>
      </w:pPr>
      <w:r>
        <w:rPr>
          <w:rStyle w:val="11"/>
          <w:rFonts w:hint="eastAsia" w:ascii="黑体" w:hAnsi="黑体" w:eastAsia="黑体" w:cs="黑体"/>
          <w:b w:val="0"/>
          <w:bCs w:val="0"/>
          <w:i w:val="0"/>
          <w:iCs w:val="0"/>
          <w:caps w:val="0"/>
          <w:color w:val="101010"/>
          <w:spacing w:val="0"/>
          <w:sz w:val="32"/>
          <w:szCs w:val="32"/>
          <w:shd w:val="clear" w:fill="FFFFFF"/>
          <w:lang w:val="en-US" w:eastAsia="zh-CN"/>
        </w:rPr>
        <w:t>三</w:t>
      </w:r>
      <w:r>
        <w:rPr>
          <w:rStyle w:val="11"/>
          <w:rFonts w:hint="eastAsia" w:ascii="黑体" w:hAnsi="黑体" w:eastAsia="黑体" w:cs="黑体"/>
          <w:b w:val="0"/>
          <w:bCs w:val="0"/>
          <w:i w:val="0"/>
          <w:iCs w:val="0"/>
          <w:caps w:val="0"/>
          <w:color w:val="101010"/>
          <w:spacing w:val="0"/>
          <w:sz w:val="32"/>
          <w:szCs w:val="32"/>
          <w:shd w:val="clear" w:fill="FFFFFF"/>
        </w:rPr>
        <w:t>、</w:t>
      </w:r>
      <w:r>
        <w:rPr>
          <w:rStyle w:val="11"/>
          <w:rFonts w:hint="eastAsia" w:ascii="黑体" w:hAnsi="黑体" w:eastAsia="黑体" w:cs="黑体"/>
          <w:b w:val="0"/>
          <w:bCs w:val="0"/>
          <w:i w:val="0"/>
          <w:iCs w:val="0"/>
          <w:caps w:val="0"/>
          <w:color w:val="101010"/>
          <w:spacing w:val="0"/>
          <w:sz w:val="32"/>
          <w:szCs w:val="32"/>
          <w:shd w:val="clear" w:fill="FFFFFF"/>
          <w:lang w:val="en-US" w:eastAsia="zh-CN"/>
        </w:rPr>
        <w:t>硬件与软件双管齐下，扎实业务基础</w:t>
      </w:r>
    </w:p>
    <w:p w14:paraId="38040B81">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32" w:firstLineChars="200"/>
        <w:jc w:val="left"/>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（一）内部管理规范化</w:t>
      </w:r>
    </w:p>
    <w:p w14:paraId="4EEAB500">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2025年，绵仲坚守底线，以制度为依据、坚持法在必行、坚持自我革命、在规范化方面做出许多努力，完成《仲裁案件管理流程及办案质量考核办法》修订，印发《绵阳仲裁委员会秘书处差旅费管理办法》《绵阳仲裁委员会秘书处员工假期、考勤管理办法》，精细化规范案件流程管理，规范工作人员纪律行为，更好高质量办理仲裁案件。</w:t>
      </w:r>
    </w:p>
    <w:p w14:paraId="392C2E60">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default"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（二）队伍建设标准化</w:t>
      </w:r>
    </w:p>
    <w:p w14:paraId="07790C99">
      <w:pPr>
        <w:keepNext w:val="0"/>
        <w:keepLines w:val="0"/>
        <w:pageBreakBefore w:val="0"/>
        <w:widowControl w:val="0"/>
        <w:kinsoku/>
        <w:wordWrap/>
        <w:topLinePunct w:val="0"/>
        <w:autoSpaceDE/>
        <w:autoSpaceDN/>
        <w:bidi w:val="0"/>
        <w:adjustRightInd w:val="0"/>
        <w:snapToGrid w:val="0"/>
        <w:spacing w:line="580" w:lineRule="exact"/>
        <w:ind w:firstLine="632"/>
        <w:textAlignment w:val="auto"/>
        <w:outlineLvl w:val="9"/>
        <w:rPr>
          <w:rFonts w:hint="eastAsia" w:ascii="Times New Roman" w:hAnsi="Times New Roman" w:eastAsia="仿宋_GB2312" w:cs="Times New Roman"/>
          <w:color w:val="auto"/>
          <w:szCs w:val="32"/>
          <w:highlight w:val="none"/>
          <w:shd w:val="clear" w:color="auto" w:fill="auto"/>
        </w:rPr>
      </w:pPr>
      <w:r>
        <w:rPr>
          <w:rFonts w:hint="eastAsia" w:ascii="Times New Roman" w:hAnsi="Times New Roman" w:eastAsia="仿宋_GB2312" w:cs="Times New Roman"/>
          <w:color w:val="auto"/>
          <w:szCs w:val="32"/>
          <w:highlight w:val="none"/>
          <w:shd w:val="clear" w:color="auto" w:fill="auto"/>
        </w:rPr>
        <w:t>202</w:t>
      </w:r>
      <w:r>
        <w:rPr>
          <w:rFonts w:hint="eastAsia" w:ascii="Times New Roman" w:hAnsi="Times New Roman" w:eastAsia="仿宋_GB2312" w:cs="Times New Roman"/>
          <w:color w:val="auto"/>
          <w:szCs w:val="32"/>
          <w:highlight w:val="none"/>
          <w:shd w:val="clear" w:color="auto" w:fill="auto"/>
          <w:lang w:val="en-US" w:eastAsia="zh-CN"/>
        </w:rPr>
        <w:t>5</w:t>
      </w:r>
      <w:r>
        <w:rPr>
          <w:rFonts w:hint="eastAsia" w:ascii="Times New Roman" w:hAnsi="Times New Roman" w:eastAsia="仿宋_GB2312" w:cs="Times New Roman"/>
          <w:color w:val="auto"/>
          <w:szCs w:val="32"/>
          <w:highlight w:val="none"/>
          <w:shd w:val="clear" w:color="auto" w:fill="auto"/>
        </w:rPr>
        <w:t>年</w:t>
      </w:r>
      <w:r>
        <w:rPr>
          <w:rFonts w:hint="eastAsia" w:ascii="Times New Roman" w:hAnsi="Times New Roman" w:cs="Times New Roman"/>
          <w:color w:val="auto"/>
          <w:szCs w:val="32"/>
          <w:highlight w:val="none"/>
          <w:shd w:val="clear" w:color="auto" w:fill="auto"/>
          <w:lang w:val="en-US" w:eastAsia="zh-CN"/>
        </w:rPr>
        <w:t>绵仲</w:t>
      </w:r>
      <w:r>
        <w:rPr>
          <w:rFonts w:hint="eastAsia" w:ascii="Times New Roman" w:hAnsi="Times New Roman" w:cs="Times New Roman"/>
          <w:color w:val="auto"/>
          <w:szCs w:val="32"/>
          <w:highlight w:val="none"/>
          <w:shd w:val="clear" w:color="auto" w:fill="auto"/>
        </w:rPr>
        <w:t>在全国率先实现仲裁秘书职级和职务改革的探索，为全国仲裁秘</w:t>
      </w:r>
      <w:r>
        <w:rPr>
          <w:rFonts w:hint="eastAsia" w:ascii="Times New Roman" w:hAnsi="Times New Roman" w:cs="Times New Roman"/>
          <w:color w:val="auto"/>
          <w:szCs w:val="32"/>
          <w:highlight w:val="none"/>
          <w:shd w:val="clear" w:color="auto" w:fill="auto"/>
          <w:lang w:eastAsia="zh-CN"/>
        </w:rPr>
        <w:t>书</w:t>
      </w:r>
      <w:r>
        <w:rPr>
          <w:rFonts w:hint="eastAsia" w:ascii="Times New Roman" w:hAnsi="Times New Roman" w:cs="Times New Roman"/>
          <w:color w:val="auto"/>
          <w:szCs w:val="32"/>
          <w:highlight w:val="none"/>
          <w:shd w:val="clear" w:color="auto" w:fill="auto"/>
        </w:rPr>
        <w:t>职业化提供了绵阳经验。</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rPr>
        <w:t>队伍建设方面，</w:t>
      </w:r>
      <w:r>
        <w:rPr>
          <w:rFonts w:hint="eastAsia" w:ascii="Times New Roman" w:hAnsi="Times New Roman" w:cs="Times New Roman"/>
          <w:color w:val="auto"/>
          <w:szCs w:val="32"/>
          <w:highlight w:val="none"/>
          <w:shd w:val="clear" w:color="auto" w:fill="auto"/>
        </w:rPr>
        <w:t>一方面搭建内部学术交流平台，定期组织工作人员开展案例研讨活</w:t>
      </w:r>
      <w:r>
        <w:rPr>
          <w:rFonts w:hint="eastAsia" w:ascii="Times New Roman" w:hAnsi="Times New Roman" w:eastAsia="仿宋_GB2312" w:cs="Times New Roman"/>
          <w:color w:val="auto"/>
          <w:szCs w:val="32"/>
          <w:highlight w:val="none"/>
          <w:shd w:val="clear" w:color="auto" w:fill="auto"/>
        </w:rPr>
        <w:t>动</w:t>
      </w:r>
      <w:r>
        <w:rPr>
          <w:rFonts w:hint="eastAsia" w:ascii="Times New Roman" w:hAnsi="Times New Roman" w:eastAsia="仿宋_GB2312" w:cs="Times New Roman"/>
          <w:color w:val="auto"/>
          <w:szCs w:val="32"/>
          <w:highlight w:val="none"/>
          <w:shd w:val="clear" w:color="auto" w:fill="auto"/>
          <w:lang w:eastAsia="zh-CN"/>
        </w:rPr>
        <w:t>、</w:t>
      </w:r>
      <w:r>
        <w:rPr>
          <w:rFonts w:hint="eastAsia" w:ascii="Times New Roman" w:hAnsi="Times New Roman" w:eastAsia="仿宋_GB2312" w:cs="Times New Roman"/>
          <w:color w:val="auto"/>
          <w:szCs w:val="32"/>
          <w:highlight w:val="none"/>
          <w:shd w:val="clear" w:color="auto" w:fill="auto"/>
          <w:lang w:val="en-US" w:eastAsia="zh-CN"/>
        </w:rPr>
        <w:t>业务会40余次</w:t>
      </w:r>
      <w:r>
        <w:rPr>
          <w:rFonts w:hint="eastAsia" w:ascii="Times New Roman" w:hAnsi="Times New Roman" w:eastAsia="仿宋_GB2312" w:cs="Times New Roman"/>
          <w:color w:val="auto"/>
          <w:szCs w:val="32"/>
          <w:highlight w:val="none"/>
          <w:shd w:val="clear" w:color="auto" w:fill="auto"/>
        </w:rPr>
        <w:t>，共析法律问题、仲裁要点及实践难点</w:t>
      </w:r>
      <w:r>
        <w:rPr>
          <w:rFonts w:hint="eastAsia" w:ascii="Times New Roman" w:hAnsi="Times New Roman" w:eastAsia="仿宋_GB2312" w:cs="Times New Roman"/>
          <w:color w:val="auto"/>
          <w:szCs w:val="32"/>
          <w:highlight w:val="none"/>
          <w:shd w:val="clear" w:color="auto" w:fill="auto"/>
          <w:lang w:eastAsia="zh-CN"/>
        </w:rPr>
        <w:t>，</w:t>
      </w:r>
      <w:r>
        <w:rPr>
          <w:rFonts w:hint="eastAsia" w:ascii="Times New Roman" w:hAnsi="Times New Roman" w:eastAsia="仿宋_GB2312" w:cs="Times New Roman"/>
          <w:color w:val="auto"/>
          <w:szCs w:val="32"/>
          <w:highlight w:val="none"/>
          <w:shd w:val="clear" w:color="auto" w:fill="auto"/>
          <w:lang w:val="en-US" w:eastAsia="zh-CN"/>
        </w:rPr>
        <w:t>提升秘书业务水平</w:t>
      </w:r>
      <w:r>
        <w:rPr>
          <w:rFonts w:hint="eastAsia" w:ascii="Times New Roman" w:hAnsi="Times New Roman" w:eastAsia="仿宋_GB2312" w:cs="Times New Roman"/>
          <w:color w:val="auto"/>
          <w:szCs w:val="32"/>
          <w:highlight w:val="none"/>
          <w:shd w:val="clear" w:color="auto" w:fill="auto"/>
        </w:rPr>
        <w:t>。另一方面</w:t>
      </w:r>
      <w:r>
        <w:rPr>
          <w:rFonts w:hint="eastAsia" w:ascii="Times New Roman" w:hAnsi="Times New Roman" w:eastAsia="仿宋_GB2312" w:cs="Times New Roman"/>
          <w:color w:val="auto"/>
          <w:szCs w:val="32"/>
          <w:highlight w:val="none"/>
          <w:shd w:val="clear" w:color="auto" w:fill="auto"/>
          <w:lang w:val="en-US" w:eastAsia="zh-CN"/>
        </w:rPr>
        <w:t>注重人才培养，分批次、分专业拟派人员奔赴各地交流、培训学习7次，大力支持</w:t>
      </w:r>
      <w:r>
        <w:rPr>
          <w:rFonts w:hint="eastAsia" w:ascii="Times New Roman" w:hAnsi="Times New Roman" w:eastAsia="仿宋_GB2312" w:cs="Times New Roman"/>
          <w:color w:val="auto"/>
          <w:szCs w:val="32"/>
          <w:highlight w:val="none"/>
          <w:shd w:val="clear" w:color="auto" w:fill="auto"/>
        </w:rPr>
        <w:t>学术研讨会活动，拓宽学术视野，增强专业能力</w:t>
      </w:r>
      <w:r>
        <w:rPr>
          <w:rFonts w:hint="eastAsia" w:ascii="Times New Roman" w:hAnsi="Times New Roman" w:eastAsia="仿宋_GB2312" w:cs="Times New Roman"/>
          <w:color w:val="auto"/>
          <w:szCs w:val="32"/>
          <w:highlight w:val="none"/>
          <w:shd w:val="clear" w:color="auto" w:fill="auto"/>
          <w:lang w:eastAsia="zh-CN"/>
        </w:rPr>
        <w:t>，</w:t>
      </w:r>
      <w:r>
        <w:rPr>
          <w:rFonts w:hint="eastAsia" w:ascii="Times New Roman" w:hAnsi="Times New Roman" w:eastAsia="仿宋_GB2312" w:cs="Times New Roman"/>
          <w:color w:val="auto"/>
          <w:szCs w:val="32"/>
          <w:highlight w:val="none"/>
          <w:shd w:val="clear" w:color="auto" w:fill="auto"/>
          <w:lang w:val="en-US" w:eastAsia="zh-CN"/>
        </w:rPr>
        <w:t>两名秘书</w:t>
      </w:r>
      <w:r>
        <w:rPr>
          <w:rFonts w:hint="eastAsia" w:ascii="Times New Roman" w:hAnsi="Times New Roman" w:eastAsia="仿宋_GB2312" w:cs="Times New Roman"/>
          <w:color w:val="auto"/>
          <w:szCs w:val="32"/>
          <w:highlight w:val="none"/>
          <w:shd w:val="clear" w:color="auto" w:fill="auto"/>
        </w:rPr>
        <w:t>在绵阳市法学会民商经济法学研究会2024年主题征文学术活动中获奖。</w:t>
      </w:r>
      <w:r>
        <w:rPr>
          <w:rFonts w:hint="eastAsia" w:ascii="Times New Roman" w:hAnsi="Times New Roman" w:eastAsia="仿宋_GB2312" w:cs="Times New Roman"/>
          <w:color w:val="auto"/>
          <w:szCs w:val="32"/>
          <w:highlight w:val="none"/>
          <w:shd w:val="clear" w:color="auto" w:fill="auto"/>
          <w:lang w:val="en-US" w:eastAsia="zh-CN"/>
        </w:rPr>
        <w:t>与西南政法大学、西南科技大学等高校</w:t>
      </w:r>
      <w:r>
        <w:rPr>
          <w:rFonts w:hint="eastAsia" w:ascii="Times New Roman" w:hAnsi="Times New Roman" w:eastAsia="仿宋_GB2312" w:cs="Times New Roman"/>
          <w:color w:val="auto"/>
          <w:szCs w:val="32"/>
          <w:highlight w:val="none"/>
          <w:shd w:val="clear" w:color="auto" w:fill="auto"/>
        </w:rPr>
        <w:t>签署</w:t>
      </w:r>
      <w:r>
        <w:rPr>
          <w:rFonts w:hint="eastAsia" w:ascii="Times New Roman" w:hAnsi="Times New Roman" w:eastAsia="仿宋_GB2312" w:cs="Times New Roman"/>
          <w:color w:val="auto"/>
          <w:szCs w:val="32"/>
          <w:highlight w:val="none"/>
          <w:shd w:val="clear" w:color="auto" w:fill="auto"/>
          <w:lang w:val="en-US" w:eastAsia="zh-CN"/>
        </w:rPr>
        <w:t>实践教育基地协议</w:t>
      </w:r>
      <w:r>
        <w:rPr>
          <w:rFonts w:hint="eastAsia" w:ascii="Times New Roman" w:hAnsi="Times New Roman" w:eastAsia="仿宋_GB2312" w:cs="Times New Roman"/>
          <w:color w:val="auto"/>
          <w:szCs w:val="32"/>
          <w:highlight w:val="none"/>
          <w:shd w:val="clear" w:color="auto" w:fill="auto"/>
        </w:rPr>
        <w:t>，</w:t>
      </w:r>
      <w:r>
        <w:rPr>
          <w:rFonts w:hint="eastAsia" w:ascii="Times New Roman" w:hAnsi="Times New Roman" w:eastAsia="仿宋_GB2312" w:cs="Times New Roman"/>
          <w:color w:val="auto"/>
          <w:szCs w:val="32"/>
          <w:highlight w:val="none"/>
          <w:shd w:val="clear" w:color="auto" w:fill="auto"/>
          <w:lang w:val="en-US" w:eastAsia="zh-CN"/>
        </w:rPr>
        <w:t>按季度接收高校实习生，为高校学子搭建法律事务实践基地，</w:t>
      </w:r>
      <w:r>
        <w:rPr>
          <w:rFonts w:hint="eastAsia" w:ascii="Times New Roman" w:hAnsi="Times New Roman" w:eastAsia="仿宋_GB2312" w:cs="Times New Roman"/>
          <w:color w:val="auto"/>
          <w:szCs w:val="32"/>
          <w:highlight w:val="none"/>
          <w:shd w:val="clear" w:color="auto" w:fill="auto"/>
        </w:rPr>
        <w:t>取得</w:t>
      </w:r>
      <w:r>
        <w:rPr>
          <w:rFonts w:hint="eastAsia" w:ascii="Times New Roman" w:hAnsi="Times New Roman" w:eastAsia="仿宋_GB2312" w:cs="Times New Roman"/>
          <w:color w:val="auto"/>
          <w:szCs w:val="32"/>
          <w:highlight w:val="none"/>
          <w:shd w:val="clear" w:color="auto" w:fill="auto"/>
          <w:lang w:val="en-US" w:eastAsia="zh-CN"/>
        </w:rPr>
        <w:t>较好</w:t>
      </w:r>
      <w:r>
        <w:rPr>
          <w:rFonts w:hint="eastAsia" w:ascii="Times New Roman" w:hAnsi="Times New Roman" w:eastAsia="仿宋_GB2312" w:cs="Times New Roman"/>
          <w:color w:val="auto"/>
          <w:szCs w:val="32"/>
          <w:highlight w:val="none"/>
          <w:shd w:val="clear" w:color="auto" w:fill="auto"/>
        </w:rPr>
        <w:t>效果。</w:t>
      </w:r>
    </w:p>
    <w:p w14:paraId="605BDA4C">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（三）数字建设智能化</w:t>
      </w:r>
    </w:p>
    <w:p w14:paraId="5DE28B9A">
      <w:pPr>
        <w:keepNext w:val="0"/>
        <w:keepLines w:val="0"/>
        <w:pageBreakBefore w:val="0"/>
        <w:widowControl w:val="0"/>
        <w:kinsoku/>
        <w:wordWrap/>
        <w:topLinePunct w:val="0"/>
        <w:autoSpaceDE/>
        <w:autoSpaceDN/>
        <w:bidi w:val="0"/>
        <w:adjustRightInd w:val="0"/>
        <w:snapToGrid w:val="0"/>
        <w:spacing w:line="580" w:lineRule="exact"/>
        <w:ind w:firstLine="632"/>
        <w:textAlignment w:val="auto"/>
        <w:outlineLvl w:val="9"/>
        <w:rPr>
          <w:rFonts w:hint="eastAsia" w:ascii="Times New Roman" w:hAnsi="Times New Roman" w:eastAsia="仿宋_GB2312" w:cs="Times New Roman"/>
          <w:color w:val="auto"/>
          <w:szCs w:val="32"/>
          <w:highlight w:val="none"/>
          <w:shd w:val="clear" w:color="auto" w:fill="auto"/>
        </w:rPr>
      </w:pPr>
      <w:r>
        <w:rPr>
          <w:rFonts w:hint="eastAsia" w:ascii="Times New Roman" w:hAnsi="Times New Roman" w:eastAsia="仿宋_GB2312" w:cs="Times New Roman"/>
          <w:color w:val="auto"/>
          <w:szCs w:val="32"/>
          <w:highlight w:val="none"/>
          <w:shd w:val="clear" w:color="auto" w:fill="auto"/>
        </w:rPr>
        <w:t>“数智仲裁”建设迈上新台阶</w:t>
      </w:r>
      <w:r>
        <w:rPr>
          <w:rFonts w:hint="eastAsia" w:ascii="Times New Roman" w:hAnsi="Times New Roman" w:eastAsia="仿宋_GB2312" w:cs="Times New Roman"/>
          <w:color w:val="auto"/>
          <w:szCs w:val="32"/>
          <w:highlight w:val="none"/>
          <w:shd w:val="clear" w:color="auto" w:fill="auto"/>
          <w:lang w:eastAsia="zh-CN"/>
        </w:rPr>
        <w:t>，</w:t>
      </w:r>
      <w:r>
        <w:rPr>
          <w:rFonts w:hint="eastAsia" w:ascii="Times New Roman" w:hAnsi="Times New Roman" w:eastAsia="仿宋_GB2312" w:cs="Times New Roman"/>
          <w:color w:val="auto"/>
          <w:szCs w:val="32"/>
          <w:highlight w:val="none"/>
          <w:shd w:val="clear" w:color="auto" w:fill="auto"/>
        </w:rPr>
        <w:t>绵仲的案件管理系统、仲裁员办案系统、当事人立案办案大厅、智慧仲裁庭审系统和线上仲裁平台等五大系统再度升级，</w:t>
      </w:r>
      <w:r>
        <w:rPr>
          <w:rFonts w:hint="eastAsia" w:ascii="Times New Roman" w:hAnsi="Times New Roman" w:eastAsia="仿宋_GB2312" w:cs="Times New Roman"/>
          <w:color w:val="auto"/>
          <w:szCs w:val="32"/>
          <w:highlight w:val="none"/>
          <w:shd w:val="clear" w:color="auto" w:fill="auto"/>
          <w:lang w:val="en-US" w:eastAsia="zh-CN"/>
        </w:rPr>
        <w:t>本年度线下方式提交立案440件，线上方式立案85件，</w:t>
      </w:r>
      <w:r>
        <w:rPr>
          <w:rFonts w:hint="eastAsia" w:ascii="Times New Roman" w:hAnsi="Times New Roman" w:eastAsia="仿宋_GB2312" w:cs="Times New Roman"/>
          <w:color w:val="auto"/>
          <w:szCs w:val="32"/>
          <w:highlight w:val="none"/>
          <w:shd w:val="clear" w:color="auto" w:fill="auto"/>
        </w:rPr>
        <w:t>电子送达文书平台顺利上线。仲裁</w:t>
      </w:r>
      <w:r>
        <w:rPr>
          <w:rFonts w:hint="eastAsia" w:ascii="Times New Roman" w:hAnsi="Times New Roman" w:eastAsia="仿宋_GB2312" w:cs="Times New Roman"/>
          <w:color w:val="auto"/>
          <w:szCs w:val="32"/>
          <w:highlight w:val="none"/>
          <w:shd w:val="clear" w:color="auto" w:fill="auto"/>
          <w:lang w:val="en-US" w:eastAsia="zh-CN"/>
        </w:rPr>
        <w:t>当事人</w:t>
      </w:r>
      <w:r>
        <w:rPr>
          <w:rFonts w:hint="eastAsia" w:ascii="Times New Roman" w:hAnsi="Times New Roman" w:eastAsia="仿宋_GB2312" w:cs="Times New Roman"/>
          <w:color w:val="auto"/>
          <w:szCs w:val="32"/>
          <w:highlight w:val="none"/>
          <w:shd w:val="clear" w:color="auto" w:fill="auto"/>
        </w:rPr>
        <w:t>均可以直接通过互联网实现网上立案</w:t>
      </w:r>
      <w:r>
        <w:rPr>
          <w:rFonts w:hint="eastAsia" w:ascii="Times New Roman" w:hAnsi="Times New Roman" w:eastAsia="仿宋_GB2312" w:cs="Times New Roman"/>
          <w:color w:val="auto"/>
          <w:szCs w:val="32"/>
          <w:highlight w:val="none"/>
          <w:shd w:val="clear" w:color="auto" w:fill="auto"/>
          <w:lang w:eastAsia="zh-CN"/>
        </w:rPr>
        <w:t>、</w:t>
      </w:r>
      <w:r>
        <w:rPr>
          <w:rFonts w:hint="eastAsia" w:ascii="Times New Roman" w:hAnsi="Times New Roman" w:eastAsia="仿宋_GB2312" w:cs="Times New Roman"/>
          <w:color w:val="auto"/>
          <w:szCs w:val="32"/>
          <w:highlight w:val="none"/>
          <w:shd w:val="clear" w:color="auto" w:fill="auto"/>
        </w:rPr>
        <w:t>办案、开庭和各种法律文书自助处理。</w:t>
      </w:r>
      <w:r>
        <w:rPr>
          <w:rFonts w:hint="eastAsia" w:ascii="Times New Roman" w:hAnsi="Times New Roman" w:eastAsia="仿宋_GB2312" w:cs="Times New Roman"/>
          <w:color w:val="auto"/>
          <w:szCs w:val="32"/>
          <w:highlight w:val="none"/>
          <w:shd w:val="clear" w:color="auto" w:fill="auto"/>
          <w:lang w:val="en-US" w:eastAsia="zh-CN"/>
        </w:rPr>
        <w:t>该年度在</w:t>
      </w:r>
      <w:r>
        <w:rPr>
          <w:rFonts w:hint="eastAsia" w:ascii="Times New Roman" w:hAnsi="Times New Roman" w:eastAsia="仿宋_GB2312" w:cs="Times New Roman"/>
          <w:color w:val="auto"/>
          <w:szCs w:val="32"/>
          <w:highlight w:val="none"/>
          <w:shd w:val="clear" w:color="auto" w:fill="auto"/>
        </w:rPr>
        <w:t>信息化建设方面取得了长足发展，实现了信息化对业务工作的大力促进。</w:t>
      </w:r>
    </w:p>
    <w:p w14:paraId="5531FF8E">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ascii="黑体" w:hAnsi="黑体" w:eastAsia="黑体" w:cs="黑体"/>
          <w:color w:val="auto"/>
          <w:szCs w:val="32"/>
          <w:highlight w:val="none"/>
          <w:shd w:val="clear" w:color="auto" w:fill="auto"/>
          <w:lang w:val="en-US" w:eastAsia="zh-CN"/>
        </w:rPr>
      </w:pPr>
      <w:r>
        <w:rPr>
          <w:rFonts w:hint="eastAsia" w:ascii="黑体" w:hAnsi="黑体" w:eastAsia="黑体" w:cs="黑体"/>
          <w:color w:val="auto"/>
          <w:szCs w:val="32"/>
          <w:highlight w:val="none"/>
          <w:shd w:val="clear" w:color="auto" w:fill="auto"/>
          <w:lang w:val="en-US" w:eastAsia="zh-CN"/>
        </w:rPr>
        <w:t>四</w:t>
      </w:r>
      <w:r>
        <w:rPr>
          <w:rFonts w:hint="eastAsia" w:ascii="黑体" w:hAnsi="黑体" w:eastAsia="黑体" w:cs="黑体"/>
          <w:color w:val="auto"/>
          <w:szCs w:val="32"/>
          <w:highlight w:val="none"/>
          <w:shd w:val="clear" w:color="auto" w:fill="auto"/>
        </w:rPr>
        <w:t>、</w:t>
      </w:r>
      <w:r>
        <w:rPr>
          <w:rFonts w:hint="eastAsia" w:ascii="黑体" w:hAnsi="黑体" w:eastAsia="黑体" w:cs="黑体"/>
          <w:color w:val="auto"/>
          <w:szCs w:val="32"/>
          <w:highlight w:val="none"/>
          <w:shd w:val="clear" w:color="auto" w:fill="auto"/>
          <w:lang w:val="en-US" w:eastAsia="zh-CN"/>
        </w:rPr>
        <w:t>引进来与走出去齐抓，融入中心大局</w:t>
      </w:r>
    </w:p>
    <w:p w14:paraId="7A516093">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（一）普法宣传持续推进</w:t>
      </w:r>
    </w:p>
    <w:p w14:paraId="4539FAE2">
      <w:pPr>
        <w:keepNext w:val="0"/>
        <w:keepLines w:val="0"/>
        <w:pageBreakBefore w:val="0"/>
        <w:widowControl w:val="0"/>
        <w:kinsoku/>
        <w:wordWrap/>
        <w:topLinePunct w:val="0"/>
        <w:autoSpaceDE/>
        <w:autoSpaceDN/>
        <w:bidi w:val="0"/>
        <w:adjustRightInd w:val="0"/>
        <w:snapToGrid w:val="0"/>
        <w:spacing w:line="580" w:lineRule="exact"/>
        <w:ind w:firstLine="632"/>
        <w:textAlignment w:val="auto"/>
        <w:outlineLvl w:val="9"/>
        <w:rPr>
          <w:rFonts w:hint="eastAsia" w:ascii="Times New Roman" w:hAnsi="Times New Roman" w:eastAsia="仿宋_GB2312" w:cs="Times New Roman"/>
          <w:color w:val="auto"/>
          <w:szCs w:val="32"/>
          <w:highlight w:val="none"/>
          <w:shd w:val="clear" w:color="auto" w:fill="auto"/>
          <w:lang w:val="en-US" w:eastAsia="zh-CN"/>
        </w:rPr>
      </w:pPr>
      <w:r>
        <w:rPr>
          <w:rFonts w:hint="eastAsia" w:ascii="Times New Roman" w:hAnsi="Times New Roman" w:eastAsia="仿宋_GB2312" w:cs="Times New Roman"/>
          <w:color w:val="auto"/>
          <w:szCs w:val="32"/>
          <w:highlight w:val="none"/>
          <w:shd w:val="clear" w:color="auto" w:fill="auto"/>
          <w:lang w:val="en-US" w:eastAsia="zh-CN"/>
        </w:rPr>
        <w:t>始终坚持把仲裁法律制度的宣传推介放在首位，积极履行公益普法责任，依托“法律七进”深入开展法治宣传。本年度，绵仲主办10次法律类专业宣讲活动，包括金融、知产、建工、公司、合规等专业主题，共计邀请55位主讲嘉宾，线下和线上参与活动的相关企业、仲裁员、律师、行业协会、学校和政府部门等15500余人；全年通过官网推送各类专业研究、活动信息、新闻通知等47篇次，总阅读数量达到27575人次；精选绵仲案例、本会动态、行业资讯、新规速递向各类用户发送了12期电子期刊，每期发送超1000余用户，年度累计12000余次；向社会各界发放《绵阳仲裁委员会案例选编》千余册；借助官网、公众号、期刊、易拉宝、案例选编等载体提供合同模板免费下载服务。</w:t>
      </w:r>
    </w:p>
    <w:p w14:paraId="72BD7BFD">
      <w:pPr>
        <w:keepNext w:val="0"/>
        <w:keepLines w:val="0"/>
        <w:pageBreakBefore w:val="0"/>
        <w:widowControl w:val="0"/>
        <w:kinsoku/>
        <w:wordWrap/>
        <w:topLinePunct w:val="0"/>
        <w:autoSpaceDE/>
        <w:autoSpaceDN/>
        <w:bidi w:val="0"/>
        <w:adjustRightInd w:val="0"/>
        <w:snapToGrid w:val="0"/>
        <w:spacing w:line="580" w:lineRule="exact"/>
        <w:ind w:firstLine="632"/>
        <w:textAlignment w:val="auto"/>
        <w:outlineLvl w:val="9"/>
        <w:rPr>
          <w:rFonts w:hint="eastAsia" w:ascii="Times New Roman" w:hAnsi="Times New Roman" w:eastAsia="仿宋_GB2312" w:cs="Times New Roman"/>
          <w:color w:val="auto"/>
          <w:szCs w:val="32"/>
          <w:highlight w:val="none"/>
          <w:shd w:val="clear" w:color="auto" w:fill="auto"/>
          <w:lang w:val="en-US" w:eastAsia="zh-CN"/>
        </w:rPr>
      </w:pPr>
      <w:r>
        <w:rPr>
          <w:rFonts w:hint="default" w:ascii="Times New Roman" w:hAnsi="Times New Roman" w:eastAsia="仿宋_GB2312" w:cs="Times New Roman"/>
          <w:color w:val="auto"/>
          <w:szCs w:val="32"/>
          <w:highlight w:val="none"/>
          <w:shd w:val="clear" w:color="auto" w:fill="auto"/>
          <w:lang w:val="en-US" w:eastAsia="zh-CN"/>
        </w:rPr>
        <w:t>主动融入成渝地区双城经济圈建设</w:t>
      </w:r>
      <w:r>
        <w:rPr>
          <w:rFonts w:hint="eastAsia" w:ascii="Times New Roman" w:hAnsi="Times New Roman" w:eastAsia="仿宋_GB2312" w:cs="Times New Roman"/>
          <w:color w:val="auto"/>
          <w:szCs w:val="32"/>
          <w:highlight w:val="none"/>
          <w:shd w:val="clear" w:color="auto" w:fill="auto"/>
          <w:lang w:val="en-US" w:eastAsia="zh-CN"/>
        </w:rPr>
        <w:t>，</w:t>
      </w:r>
      <w:r>
        <w:rPr>
          <w:rFonts w:hint="default" w:ascii="Times New Roman" w:hAnsi="Times New Roman" w:eastAsia="仿宋_GB2312" w:cs="Times New Roman"/>
          <w:color w:val="auto"/>
          <w:szCs w:val="32"/>
          <w:highlight w:val="none"/>
          <w:shd w:val="clear" w:color="auto" w:fill="auto"/>
          <w:lang w:val="en-US" w:eastAsia="zh-CN"/>
        </w:rPr>
        <w:t>2023</w:t>
      </w:r>
      <w:r>
        <w:rPr>
          <w:rFonts w:hint="eastAsia" w:ascii="Times New Roman" w:hAnsi="Times New Roman" w:eastAsia="仿宋_GB2312" w:cs="Times New Roman"/>
          <w:color w:val="auto"/>
          <w:szCs w:val="32"/>
          <w:highlight w:val="none"/>
          <w:shd w:val="clear" w:color="auto" w:fill="auto"/>
          <w:lang w:val="en-US" w:eastAsia="zh-CN"/>
        </w:rPr>
        <w:t>年起，连续三年成功举办以“法汇中国（绵阳）科技城”为主题的中国仲裁周绵阳专场系列活动。绵仲作为仲裁周绵阳专场的主办单位之一，充分展示了全链条、一站式、专业化商事法律服务理念，与泸州、德阳、自贡等仲裁机构建立协作机制，形成仲裁服务涪江流域川渝九地“一盘棋”格局。</w:t>
      </w:r>
    </w:p>
    <w:p w14:paraId="248297F5">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（二）专业仲裁持续打造</w:t>
      </w:r>
    </w:p>
    <w:p w14:paraId="745B5B71">
      <w:pPr>
        <w:keepNext w:val="0"/>
        <w:keepLines w:val="0"/>
        <w:pageBreakBefore w:val="0"/>
        <w:widowControl w:val="0"/>
        <w:kinsoku/>
        <w:wordWrap/>
        <w:topLinePunct w:val="0"/>
        <w:autoSpaceDE/>
        <w:autoSpaceDN/>
        <w:bidi w:val="0"/>
        <w:adjustRightInd w:val="0"/>
        <w:snapToGrid w:val="0"/>
        <w:spacing w:line="580" w:lineRule="exact"/>
        <w:ind w:firstLine="632"/>
        <w:textAlignment w:val="auto"/>
        <w:outlineLvl w:val="9"/>
        <w:rPr>
          <w:rFonts w:hint="eastAsia" w:ascii="Times New Roman" w:hAnsi="Times New Roman" w:eastAsia="仿宋_GB2312" w:cs="Times New Roman"/>
          <w:color w:val="auto"/>
          <w:szCs w:val="32"/>
          <w:highlight w:val="none"/>
          <w:shd w:val="clear" w:color="auto" w:fill="auto"/>
          <w:lang w:val="en-US" w:eastAsia="zh-CN"/>
        </w:rPr>
      </w:pPr>
      <w:r>
        <w:rPr>
          <w:rFonts w:hint="eastAsia" w:ascii="Times New Roman" w:hAnsi="Times New Roman" w:eastAsia="仿宋_GB2312" w:cs="Times New Roman"/>
          <w:color w:val="auto"/>
          <w:szCs w:val="32"/>
          <w:highlight w:val="none"/>
          <w:shd w:val="clear" w:color="auto" w:fill="auto"/>
          <w:lang w:val="en-US" w:eastAsia="zh-CN"/>
        </w:rPr>
        <w:t>国家出台文件支持科技城建设中国特色社会主义科技创新先行区，省委、省政府出台文件支持绵阳发挥科技城优势加快建成省域经济副中心，绵仲始终坚持贯彻政策要求，与绵阳市市场监督管理局联合印发《关于进一步加强知识产权领域仲裁工作的意见》，2025年度，共计主办或者受邀参加3次涉及知识产权纠纷解决和涉外纠纷解决主题活动，帮助企业更高质量“走出去”。与绵阳市财政局、中国人民银行绵阳市分行联合发文《关于发挥仲裁优势助力成渝金融副中心建设的意见》，进一步发挥仲裁制度在化解金融纠纷中的优势和作用，维护金融稳定与安全，助力绵阳打造成渝金融副中心建设。</w:t>
      </w:r>
    </w:p>
    <w:p w14:paraId="167EE257">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（三）信息互通持续保持</w:t>
      </w:r>
    </w:p>
    <w:p w14:paraId="561A2E85">
      <w:pPr>
        <w:keepNext w:val="0"/>
        <w:keepLines w:val="0"/>
        <w:pageBreakBefore w:val="0"/>
        <w:widowControl w:val="0"/>
        <w:kinsoku/>
        <w:wordWrap/>
        <w:topLinePunct w:val="0"/>
        <w:autoSpaceDE/>
        <w:autoSpaceDN/>
        <w:bidi w:val="0"/>
        <w:adjustRightInd w:val="0"/>
        <w:snapToGrid w:val="0"/>
        <w:spacing w:line="580" w:lineRule="exact"/>
        <w:ind w:firstLine="632"/>
        <w:textAlignment w:val="auto"/>
        <w:outlineLvl w:val="9"/>
        <w:rPr>
          <w:rFonts w:hint="eastAsia" w:ascii="Times New Roman" w:hAnsi="Times New Roman" w:eastAsia="仿宋_GB2312" w:cs="Times New Roman"/>
          <w:color w:val="auto"/>
          <w:szCs w:val="32"/>
          <w:highlight w:val="none"/>
          <w:shd w:val="clear" w:color="auto" w:fill="auto"/>
          <w:lang w:val="en-US" w:eastAsia="zh-CN"/>
        </w:rPr>
      </w:pPr>
      <w:r>
        <w:rPr>
          <w:rFonts w:hint="default" w:ascii="Times New Roman" w:hAnsi="Times New Roman" w:eastAsia="仿宋_GB2312" w:cs="Times New Roman"/>
          <w:color w:val="auto"/>
          <w:szCs w:val="32"/>
          <w:highlight w:val="none"/>
          <w:shd w:val="clear" w:color="auto" w:fill="auto"/>
          <w:lang w:val="en-US" w:eastAsia="zh-CN"/>
        </w:rPr>
        <w:t>2025</w:t>
      </w:r>
      <w:r>
        <w:rPr>
          <w:rFonts w:hint="eastAsia" w:ascii="Times New Roman" w:hAnsi="Times New Roman" w:eastAsia="仿宋_GB2312" w:cs="Times New Roman"/>
          <w:color w:val="auto"/>
          <w:szCs w:val="32"/>
          <w:highlight w:val="none"/>
          <w:shd w:val="clear" w:color="auto" w:fill="auto"/>
          <w:lang w:val="en-US" w:eastAsia="zh-CN"/>
        </w:rPr>
        <w:t>年，走出去参加国内会议5次、常规会议2场，作为支持机构协助研讨会2次。将好的做法和经验引进来，与襄阳、三门峡等仲裁机构及省内十余家仲裁机构和司法行政部门，就仲裁员选聘、培训及管理、仲裁服务营商环境、机构内部治理结构改革、仲裁队伍建设及人员薪酬制度、激发仲裁员履职积极性、财务制度、业务拓展、案件考核评查等仲裁发展中的共性问题进行探讨和经验分享，有力促进了仲裁机构的规范化建设和高质量发展。与绵阳市律师协会签订《框架合作协议》，“仲律联动”整合资源、协同推进法治建设。</w:t>
      </w:r>
    </w:p>
    <w:p w14:paraId="7EFA81FB">
      <w:pPr>
        <w:pStyle w:val="6"/>
        <w:keepNext w:val="0"/>
        <w:keepLines w:val="0"/>
        <w:pageBreakBefore w:val="0"/>
        <w:widowControl w:val="0"/>
        <w:kinsoku/>
        <w:wordWrap/>
        <w:topLinePunct w:val="0"/>
        <w:autoSpaceDE/>
        <w:autoSpaceDN/>
        <w:bidi w:val="0"/>
        <w:adjustRightInd w:val="0"/>
        <w:snapToGrid w:val="0"/>
        <w:spacing w:line="580" w:lineRule="exact"/>
        <w:textAlignment w:val="auto"/>
        <w:outlineLvl w:val="0"/>
        <w:rPr>
          <w:rStyle w:val="11"/>
          <w:rFonts w:hint="eastAsia" w:ascii="黑体" w:hAnsi="黑体" w:eastAsia="黑体" w:cs="黑体"/>
          <w:b w:val="0"/>
          <w:bCs w:val="0"/>
          <w:i w:val="0"/>
          <w:iCs w:val="0"/>
          <w:caps w:val="0"/>
          <w:color w:val="101010"/>
          <w:spacing w:val="0"/>
          <w:sz w:val="32"/>
          <w:szCs w:val="32"/>
          <w:shd w:val="clear" w:fill="FFFFFF"/>
        </w:rPr>
      </w:pPr>
      <w:r>
        <w:rPr>
          <w:rStyle w:val="11"/>
          <w:rFonts w:hint="eastAsia" w:ascii="黑体" w:hAnsi="黑体" w:eastAsia="黑体" w:cs="黑体"/>
          <w:b w:val="0"/>
          <w:bCs w:val="0"/>
          <w:i w:val="0"/>
          <w:iCs w:val="0"/>
          <w:caps w:val="0"/>
          <w:color w:val="101010"/>
          <w:spacing w:val="0"/>
          <w:sz w:val="32"/>
          <w:szCs w:val="32"/>
          <w:shd w:val="clear" w:fill="FFFFFF"/>
          <w:lang w:val="en-US" w:eastAsia="zh-CN"/>
        </w:rPr>
        <w:t>五</w:t>
      </w:r>
      <w:r>
        <w:rPr>
          <w:rStyle w:val="11"/>
          <w:rFonts w:hint="eastAsia" w:ascii="黑体" w:hAnsi="黑体" w:eastAsia="黑体" w:cs="黑体"/>
          <w:b w:val="0"/>
          <w:bCs w:val="0"/>
          <w:i w:val="0"/>
          <w:iCs w:val="0"/>
          <w:caps w:val="0"/>
          <w:color w:val="101010"/>
          <w:spacing w:val="0"/>
          <w:sz w:val="32"/>
          <w:szCs w:val="32"/>
          <w:shd w:val="clear" w:fill="FFFFFF"/>
        </w:rPr>
        <w:t>、</w:t>
      </w:r>
      <w:r>
        <w:rPr>
          <w:rStyle w:val="11"/>
          <w:rFonts w:hint="default" w:ascii="Times New Roman" w:hAnsi="Times New Roman" w:eastAsia="黑体" w:cs="Times New Roman"/>
          <w:b w:val="0"/>
          <w:bCs w:val="0"/>
          <w:i w:val="0"/>
          <w:iCs w:val="0"/>
          <w:caps w:val="0"/>
          <w:color w:val="101010"/>
          <w:spacing w:val="0"/>
          <w:sz w:val="32"/>
          <w:szCs w:val="32"/>
          <w:shd w:val="clear" w:fill="FFFFFF"/>
        </w:rPr>
        <w:t>202</w:t>
      </w:r>
      <w:r>
        <w:rPr>
          <w:rStyle w:val="11"/>
          <w:rFonts w:hint="default" w:ascii="Times New Roman" w:hAnsi="Times New Roman" w:eastAsia="黑体" w:cs="Times New Roman"/>
          <w:b w:val="0"/>
          <w:bCs w:val="0"/>
          <w:i w:val="0"/>
          <w:iCs w:val="0"/>
          <w:caps w:val="0"/>
          <w:color w:val="101010"/>
          <w:spacing w:val="0"/>
          <w:sz w:val="32"/>
          <w:szCs w:val="32"/>
          <w:shd w:val="clear" w:fill="FFFFFF"/>
          <w:lang w:val="en-US" w:eastAsia="zh-CN"/>
        </w:rPr>
        <w:t>6</w:t>
      </w:r>
      <w:r>
        <w:rPr>
          <w:rStyle w:val="11"/>
          <w:rFonts w:hint="eastAsia" w:ascii="黑体" w:hAnsi="黑体" w:eastAsia="黑体" w:cs="黑体"/>
          <w:b w:val="0"/>
          <w:bCs w:val="0"/>
          <w:i w:val="0"/>
          <w:iCs w:val="0"/>
          <w:caps w:val="0"/>
          <w:color w:val="101010"/>
          <w:spacing w:val="0"/>
          <w:sz w:val="32"/>
          <w:szCs w:val="32"/>
          <w:shd w:val="clear" w:fill="FFFFFF"/>
        </w:rPr>
        <w:t>年主要目标和举措</w:t>
      </w:r>
    </w:p>
    <w:p w14:paraId="18CD46AC">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新的一年，绵仲要在夯实仲裁队伍的专业化水平，提升机构整体综合实力下功夫，努力做到案件审理有新水平，队伍建设有新境界，机构管理有新举措，受案标的有新突破。要</w:t>
      </w:r>
      <w:r>
        <w:rPr>
          <w:rFonts w:hint="default" w:ascii="Times New Roman" w:hAnsi="Times New Roman" w:cs="Times New Roman"/>
        </w:rPr>
        <w:t>全面落实</w:t>
      </w:r>
      <w:r>
        <w:rPr>
          <w:rFonts w:hint="default" w:ascii="Times New Roman" w:hAnsi="Times New Roman" w:cs="Times New Roman"/>
          <w:lang w:eastAsia="zh-CN"/>
        </w:rPr>
        <w:t>《中华人民共和国仲裁法》</w:t>
      </w:r>
      <w:r>
        <w:rPr>
          <w:rFonts w:hint="default" w:ascii="Times New Roman" w:hAnsi="Times New Roman" w:cs="Times New Roman"/>
        </w:rPr>
        <w:t>修订后的各项规章制度，进一步提高办案质量和效率，进一步提升仲裁员和工作人员的能力水平，进一步探索、创新业务拓展渠道方式，进一步加强党建党务工作等方面。</w:t>
      </w:r>
      <w:r>
        <w:rPr>
          <w:rFonts w:hint="default" w:ascii="Times New Roman" w:hAnsi="Times New Roman" w:cs="Times New Roman"/>
          <w:lang w:val="en-US" w:eastAsia="zh-CN"/>
        </w:rPr>
        <w:t>具体举措如下：</w:t>
      </w:r>
    </w:p>
    <w:p w14:paraId="6114B28B">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jc w:val="left"/>
        <w:textAlignment w:val="auto"/>
        <w:outlineLvl w:val="1"/>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（一）学习宣传贯彻新修订的仲裁法</w:t>
      </w:r>
    </w:p>
    <w:p w14:paraId="3342A0E1">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3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这是目前最紧迫的任务。主要有几项：</w:t>
      </w:r>
    </w:p>
    <w:p w14:paraId="6623B5F3">
      <w:pPr>
        <w:pStyle w:val="6"/>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32" w:firstLineChars="200"/>
        <w:textAlignment w:val="auto"/>
        <w:rPr>
          <w:rFonts w:hint="eastAsia" w:ascii="仿宋_GB2312" w:hAnsi="仿宋_GB2312" w:eastAsia="仿宋_GB2312" w:cs="仿宋_GB2312"/>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根据新修订的仲裁法，修改完善绵阳仲裁委员会仲裁规则及相关配套规定，目前已经着手进行。</w:t>
      </w:r>
    </w:p>
    <w:p w14:paraId="2C458FBA">
      <w:pPr>
        <w:pStyle w:val="6"/>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7" w:firstLineChars="0"/>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建立仲裁员专业分类名单。根据案件性质分类和仲裁员的专业结构和研究方向，建立仲裁员专业名单，便于当事人选定。</w:t>
      </w:r>
    </w:p>
    <w:p w14:paraId="5BB44190">
      <w:pPr>
        <w:pStyle w:val="6"/>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7" w:firstLineChars="0"/>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完善法人治理机制，提高机构管理自主权。在坚持仲裁公益性、确保资产不流失的前提下，积极推进绵仲在财务、人员、薪酬和绩效、事业发展等方面的改革探索，建立适合本会自身发展特点的各项人财物管理制度。</w:t>
      </w:r>
    </w:p>
    <w:p w14:paraId="68F03CFD">
      <w:pPr>
        <w:pStyle w:val="6"/>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7" w:firstLineChars="0"/>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t>强化监督管理和风险防控，加强仲裁工作队伍和仲裁员队伍监督管理，强化执纪问责，确保廉洁公正依法办案，筑牢机构公信力。</w:t>
      </w:r>
    </w:p>
    <w:p w14:paraId="5A150E72">
      <w:pPr>
        <w:pStyle w:val="6"/>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7" w:firstLineChars="0"/>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坚持多措并举多点发力，加强与各协会及机构的联系与合作，助推更高水平新格局建设，高质量、高标准服务各行业。针对金融、房地产、建设工程、知识产权等重点行业领域，着力加大宣传推广仲裁法律制度的力度和深度。坚持立足绵阳、拓展周边、面向四川、走向全国的发展道路，致力于建设区域性商事纠纷解决中心。</w:t>
      </w:r>
    </w:p>
    <w:p w14:paraId="039E7B8C">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（二）完善收费制度改革</w:t>
      </w:r>
    </w:p>
    <w:p w14:paraId="0B6A8F9C">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lang w:val="en-US" w:eastAsia="zh-CN"/>
        </w:rPr>
      </w:pPr>
      <w:r>
        <w:rPr>
          <w:rFonts w:hint="eastAsia" w:ascii="仿宋_GB2312" w:hAnsi="仿宋_GB2312" w:cs="仿宋_GB2312"/>
          <w:lang w:val="en-US" w:eastAsia="zh-CN"/>
        </w:rPr>
        <w:t>行政事业性收费和纳入财政预算管理的经费收支管理制度已经不适应绵阳仲裁事业的发展。计划将收费制度改革纳入绵阳市委、市政府</w:t>
      </w:r>
      <w:r>
        <w:rPr>
          <w:rFonts w:hint="default" w:ascii="Times New Roman" w:hAnsi="Times New Roman" w:cs="Times New Roman"/>
          <w:lang w:val="en-US" w:eastAsia="zh-CN"/>
        </w:rPr>
        <w:t>2026年度创新改革体系，争取在2026年度内完成收费制度改革。</w:t>
      </w:r>
    </w:p>
    <w:p w14:paraId="2D9D1A65">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（三）办公场所问题</w:t>
      </w:r>
    </w:p>
    <w:p w14:paraId="6EE9B87C">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lang w:val="en-US" w:eastAsia="zh-CN"/>
        </w:rPr>
      </w:pPr>
      <w:r>
        <w:rPr>
          <w:rFonts w:hint="eastAsia"/>
          <w:lang w:val="en-US" w:eastAsia="zh-CN"/>
        </w:rPr>
        <w:t>目前的办公场所工位趋于饱和，已经没法给两个教学实践基地的实习学生提供实习岗位。办公场所的停车位严重缺乏，交通拥堵。前来开庭的仲裁员、当事人及其代理人反应强烈。需要在近两年内寻找适宜仲裁工作开展办公场所，彻底解决未来十至二十年内的办公场所问题，为绵阳仲裁事业的未来发展打开通道。</w:t>
      </w:r>
    </w:p>
    <w:p w14:paraId="57CCF68B">
      <w:pPr>
        <w:keepNext w:val="0"/>
        <w:keepLines w:val="0"/>
        <w:pageBreakBefore w:val="0"/>
        <w:widowControl w:val="0"/>
        <w:kinsoku/>
        <w:wordWrap/>
        <w:topLinePunct w:val="0"/>
        <w:autoSpaceDE/>
        <w:autoSpaceDN/>
        <w:bidi w:val="0"/>
        <w:adjustRightInd w:val="0"/>
        <w:snapToGrid w:val="0"/>
        <w:spacing w:line="580" w:lineRule="exact"/>
        <w:ind w:firstLine="632" w:firstLineChars="200"/>
        <w:jc w:val="left"/>
        <w:textAlignment w:val="auto"/>
        <w:outlineLvl w:val="1"/>
        <w:rPr>
          <w:rFonts w:hint="eastAsia" w:ascii="楷体_GB2312" w:hAnsi="楷体_GB2312" w:eastAsia="楷体_GB2312" w:cs="楷体_GB2312"/>
          <w:b/>
          <w:bCs/>
        </w:rPr>
      </w:pPr>
      <w:r>
        <w:rPr>
          <w:rFonts w:hint="eastAsia" w:ascii="楷体_GB2312" w:hAnsi="楷体_GB2312" w:eastAsia="楷体_GB2312" w:cs="楷体_GB2312"/>
          <w:b/>
          <w:bCs/>
          <w:kern w:val="0"/>
          <w:sz w:val="32"/>
          <w:szCs w:val="32"/>
          <w:lang w:val="en-US" w:eastAsia="zh-CN"/>
        </w:rPr>
        <w:t>（四）更新鉴定机构库</w:t>
      </w:r>
    </w:p>
    <w:p w14:paraId="42C622E1">
      <w:pPr>
        <w:keepNext w:val="0"/>
        <w:keepLines w:val="0"/>
        <w:pageBreakBefore w:val="0"/>
        <w:widowControl w:val="0"/>
        <w:kinsoku/>
        <w:wordWrap/>
        <w:topLinePunct w:val="0"/>
        <w:autoSpaceDE/>
        <w:autoSpaceDN/>
        <w:bidi w:val="0"/>
        <w:adjustRightInd w:val="0"/>
        <w:snapToGrid w:val="0"/>
        <w:spacing w:line="580" w:lineRule="exact"/>
        <w:ind w:firstLine="632" w:firstLineChars="200"/>
        <w:textAlignment w:val="auto"/>
        <w:rPr>
          <w:rFonts w:hint="eastAsia"/>
          <w:lang w:val="en-US" w:eastAsia="zh-CN"/>
        </w:rPr>
      </w:pPr>
      <w:r>
        <w:rPr>
          <w:rFonts w:hint="eastAsia"/>
          <w:lang w:val="en-US" w:eastAsia="zh-CN"/>
        </w:rPr>
        <w:t>为了进一步加强仲裁鉴定工作管理，提高仲裁鉴定工作的质量和效率，</w:t>
      </w:r>
      <w:r>
        <w:rPr>
          <w:rFonts w:hint="eastAsia" w:ascii="仿宋_GB2312" w:hAnsi="仿宋_GB2312" w:cs="仿宋_GB2312"/>
          <w:lang w:val="en-US" w:eastAsia="zh-CN"/>
        </w:rPr>
        <w:t>在</w:t>
      </w:r>
      <w:r>
        <w:rPr>
          <w:rFonts w:hint="default" w:ascii="Times New Roman" w:hAnsi="Times New Roman" w:cs="Times New Roman"/>
          <w:lang w:val="en-US" w:eastAsia="zh-CN"/>
        </w:rPr>
        <w:t>2026</w:t>
      </w:r>
      <w:r>
        <w:rPr>
          <w:rFonts w:hint="eastAsia" w:ascii="仿宋_GB2312" w:hAnsi="仿宋_GB2312" w:cs="仿宋_GB2312"/>
          <w:lang w:val="en-US" w:eastAsia="zh-CN"/>
        </w:rPr>
        <w:t>年度面向社会公开遴选专业类目完备的鉴定机构，完善绵仲鉴定</w:t>
      </w:r>
      <w:r>
        <w:rPr>
          <w:rFonts w:hint="eastAsia"/>
          <w:lang w:val="en-US" w:eastAsia="zh-CN"/>
        </w:rPr>
        <w:t>机构名册，目前该工作正在进行。</w:t>
      </w:r>
    </w:p>
    <w:p w14:paraId="5F70CC17">
      <w:pPr>
        <w:keepNext w:val="0"/>
        <w:keepLines w:val="0"/>
        <w:pageBreakBefore w:val="0"/>
        <w:widowControl w:val="0"/>
        <w:kinsoku/>
        <w:wordWrap/>
        <w:overflowPunct w:val="0"/>
        <w:topLinePunct/>
        <w:autoSpaceDE/>
        <w:autoSpaceDN/>
        <w:bidi w:val="0"/>
        <w:adjustRightInd/>
        <w:snapToGrid/>
        <w:spacing w:line="56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p>
    <w:p w14:paraId="74B848BF">
      <w:pPr>
        <w:keepNext w:val="0"/>
        <w:keepLines w:val="0"/>
        <w:pageBreakBefore w:val="0"/>
        <w:widowControl w:val="0"/>
        <w:kinsoku/>
        <w:wordWrap/>
        <w:overflowPunct w:val="0"/>
        <w:topLinePunct/>
        <w:autoSpaceDE/>
        <w:autoSpaceDN/>
        <w:bidi w:val="0"/>
        <w:adjustRightInd/>
        <w:snapToGrid/>
        <w:spacing w:line="56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p>
    <w:p w14:paraId="16FDCD9D">
      <w:pPr>
        <w:keepNext w:val="0"/>
        <w:keepLines w:val="0"/>
        <w:pageBreakBefore w:val="0"/>
        <w:widowControl w:val="0"/>
        <w:kinsoku/>
        <w:wordWrap/>
        <w:overflowPunct w:val="0"/>
        <w:topLinePunct/>
        <w:autoSpaceDE/>
        <w:autoSpaceDN/>
        <w:bidi w:val="0"/>
        <w:adjustRightInd/>
        <w:snapToGrid/>
        <w:spacing w:line="560" w:lineRule="exact"/>
        <w:ind w:firstLine="632" w:firstLineChars="200"/>
        <w:jc w:val="both"/>
        <w:textAlignment w:val="auto"/>
        <w:outlineLvl w:val="9"/>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 xml:space="preserve">                    </w:t>
      </w:r>
      <w:r>
        <w:rPr>
          <w:rFonts w:hint="eastAsia" w:ascii="Times New Roman" w:hAnsi="Times New Roman" w:cs="Times New Roman"/>
          <w:i w:val="0"/>
          <w:caps w:val="0"/>
          <w:color w:val="auto"/>
          <w:spacing w:val="0"/>
          <w:kern w:val="2"/>
          <w:sz w:val="32"/>
          <w:szCs w:val="32"/>
          <w:highlight w:val="none"/>
          <w:shd w:val="clear" w:color="auto" w:fill="auto"/>
          <w:lang w:val="en-US" w:eastAsia="zh-CN" w:bidi="ar-SA"/>
        </w:rPr>
        <w:t xml:space="preserve">         </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 xml:space="preserve"> 绵阳仲裁委员会</w:t>
      </w:r>
    </w:p>
    <w:p w14:paraId="6AD5C193">
      <w:pPr>
        <w:keepNext w:val="0"/>
        <w:keepLines w:val="0"/>
        <w:pageBreakBefore w:val="0"/>
        <w:widowControl w:val="0"/>
        <w:kinsoku/>
        <w:wordWrap/>
        <w:overflowPunct w:val="0"/>
        <w:topLinePunct/>
        <w:autoSpaceDE/>
        <w:autoSpaceDN/>
        <w:bidi w:val="0"/>
        <w:adjustRightInd/>
        <w:snapToGrid/>
        <w:spacing w:line="560" w:lineRule="exact"/>
        <w:ind w:firstLine="5372" w:firstLineChars="1700"/>
        <w:jc w:val="both"/>
        <w:textAlignment w:val="auto"/>
        <w:outlineLvl w:val="9"/>
        <w:rPr>
          <w:rFonts w:hint="eastAsia" w:ascii="仿宋_GB2312" w:hAnsi="仿宋_GB2312" w:cs="仿宋_GB2312"/>
          <w:color w:val="auto"/>
          <w:kern w:val="0"/>
          <w:lang w:val="en-US" w:eastAsia="zh-CN"/>
        </w:rPr>
      </w:pP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202</w:t>
      </w:r>
      <w:r>
        <w:rPr>
          <w:rFonts w:hint="eastAsia" w:ascii="Times New Roman" w:hAnsi="Times New Roman" w:cs="Times New Roman"/>
          <w:i w:val="0"/>
          <w:caps w:val="0"/>
          <w:color w:val="auto"/>
          <w:spacing w:val="0"/>
          <w:kern w:val="2"/>
          <w:sz w:val="32"/>
          <w:szCs w:val="32"/>
          <w:highlight w:val="none"/>
          <w:shd w:val="clear" w:color="auto" w:fill="auto"/>
          <w:lang w:val="en-US" w:eastAsia="zh-CN" w:bidi="ar-SA"/>
        </w:rPr>
        <w:t>6</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年</w:t>
      </w:r>
      <w:r>
        <w:rPr>
          <w:rFonts w:hint="eastAsia" w:ascii="Times New Roman" w:hAnsi="Times New Roman" w:cs="Times New Roman"/>
          <w:i w:val="0"/>
          <w:caps w:val="0"/>
          <w:color w:val="auto"/>
          <w:spacing w:val="0"/>
          <w:kern w:val="2"/>
          <w:sz w:val="32"/>
          <w:szCs w:val="32"/>
          <w:highlight w:val="none"/>
          <w:shd w:val="clear" w:color="auto" w:fill="auto"/>
          <w:lang w:val="en-US" w:eastAsia="zh-CN" w:bidi="ar-SA"/>
        </w:rPr>
        <w:t>2</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月</w:t>
      </w:r>
      <w:r>
        <w:rPr>
          <w:rFonts w:hint="eastAsia" w:ascii="Times New Roman" w:hAnsi="Times New Roman" w:cs="Times New Roman"/>
          <w:i w:val="0"/>
          <w:caps w:val="0"/>
          <w:color w:val="auto"/>
          <w:spacing w:val="0"/>
          <w:kern w:val="2"/>
          <w:sz w:val="32"/>
          <w:szCs w:val="32"/>
          <w:highlight w:val="none"/>
          <w:shd w:val="clear" w:color="auto" w:fill="auto"/>
          <w:lang w:val="en-US" w:eastAsia="zh-CN" w:bidi="ar-SA"/>
        </w:rPr>
        <w:t>5</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日</w:t>
      </w:r>
      <w:r>
        <w:rPr>
          <w:rFonts w:hint="eastAsia" w:ascii="仿宋_GB2312" w:hAnsi="仿宋_GB2312" w:cs="仿宋_GB2312"/>
          <w:color w:val="auto"/>
          <w:kern w:val="0"/>
          <w:lang w:val="en-US" w:eastAsia="zh-CN"/>
        </w:rPr>
        <w:t xml:space="preserve">    </w:t>
      </w:r>
    </w:p>
    <w:p w14:paraId="5EA1046C">
      <w:pPr>
        <w:keepNext w:val="0"/>
        <w:keepLines w:val="0"/>
        <w:pageBreakBefore w:val="0"/>
        <w:widowControl w:val="0"/>
        <w:kinsoku/>
        <w:wordWrap/>
        <w:overflowPunct w:val="0"/>
        <w:topLinePunct/>
        <w:autoSpaceDE/>
        <w:autoSpaceDN/>
        <w:bidi w:val="0"/>
        <w:adjustRightInd/>
        <w:snapToGrid/>
        <w:spacing w:line="560" w:lineRule="exact"/>
        <w:ind w:firstLine="5372" w:firstLineChars="1700"/>
        <w:jc w:val="both"/>
        <w:textAlignment w:val="auto"/>
        <w:outlineLvl w:val="9"/>
        <w:rPr>
          <w:rFonts w:hint="eastAsia" w:ascii="仿宋_GB2312" w:hAnsi="仿宋_GB2312" w:cs="仿宋_GB2312"/>
          <w:color w:val="auto"/>
          <w:kern w:val="0"/>
          <w:lang w:val="en-US" w:eastAsia="zh-CN"/>
        </w:rPr>
      </w:pPr>
    </w:p>
    <w:p w14:paraId="5F9132AA">
      <w:pPr>
        <w:keepNext w:val="0"/>
        <w:keepLines w:val="0"/>
        <w:pageBreakBefore w:val="0"/>
        <w:widowControl w:val="0"/>
        <w:kinsoku/>
        <w:wordWrap/>
        <w:overflowPunct w:val="0"/>
        <w:topLinePunct/>
        <w:autoSpaceDE/>
        <w:autoSpaceDN/>
        <w:bidi w:val="0"/>
        <w:adjustRightInd/>
        <w:snapToGrid/>
        <w:spacing w:line="560" w:lineRule="exact"/>
        <w:jc w:val="both"/>
        <w:textAlignment w:val="auto"/>
        <w:outlineLvl w:val="9"/>
        <w:rPr>
          <w:rFonts w:hint="eastAsia" w:ascii="仿宋_GB2312" w:hAnsi="仿宋_GB2312" w:cs="仿宋_GB2312"/>
          <w:color w:val="auto"/>
          <w:kern w:val="0"/>
          <w:lang w:val="en-US" w:eastAsia="zh-CN"/>
        </w:rPr>
      </w:pPr>
    </w:p>
    <w:p w14:paraId="092C16BD">
      <w:pPr>
        <w:keepNext w:val="0"/>
        <w:keepLines w:val="0"/>
        <w:pageBreakBefore w:val="0"/>
        <w:widowControl w:val="0"/>
        <w:kinsoku/>
        <w:wordWrap/>
        <w:overflowPunct w:val="0"/>
        <w:topLinePunct/>
        <w:autoSpaceDE/>
        <w:autoSpaceDN/>
        <w:bidi w:val="0"/>
        <w:adjustRightInd/>
        <w:snapToGrid/>
        <w:spacing w:line="560" w:lineRule="exact"/>
        <w:ind w:firstLine="5372" w:firstLineChars="1700"/>
        <w:jc w:val="both"/>
        <w:textAlignment w:val="auto"/>
        <w:outlineLvl w:val="9"/>
        <w:rPr>
          <w:rFonts w:hint="eastAsia" w:ascii="仿宋_GB2312" w:hAnsi="仿宋_GB2312" w:cs="仿宋_GB2312"/>
          <w:color w:val="auto"/>
          <w:kern w:val="0"/>
          <w:lang w:val="en-US" w:eastAsia="zh-CN"/>
        </w:rPr>
      </w:pPr>
    </w:p>
    <w:p w14:paraId="05662AE9">
      <w:pPr>
        <w:keepNext w:val="0"/>
        <w:keepLines w:val="0"/>
        <w:pageBreakBefore w:val="0"/>
        <w:widowControl w:val="0"/>
        <w:kinsoku/>
        <w:wordWrap/>
        <w:overflowPunct w:val="0"/>
        <w:topLinePunct/>
        <w:autoSpaceDE/>
        <w:autoSpaceDN/>
        <w:bidi w:val="0"/>
        <w:adjustRightInd/>
        <w:snapToGrid/>
        <w:spacing w:line="560" w:lineRule="exact"/>
        <w:ind w:firstLine="5372" w:firstLineChars="1700"/>
        <w:jc w:val="both"/>
        <w:textAlignment w:val="auto"/>
        <w:outlineLvl w:val="9"/>
        <w:rPr>
          <w:rFonts w:hint="eastAsia" w:ascii="仿宋_GB2312" w:hAnsi="仿宋_GB2312" w:cs="仿宋_GB2312"/>
          <w:color w:val="auto"/>
          <w:kern w:val="0"/>
          <w:lang w:val="en-US" w:eastAsia="zh-CN"/>
        </w:rPr>
      </w:pPr>
    </w:p>
    <w:p w14:paraId="6846B67A">
      <w:pPr>
        <w:keepNext w:val="0"/>
        <w:keepLines w:val="0"/>
        <w:pageBreakBefore w:val="0"/>
        <w:widowControl w:val="0"/>
        <w:kinsoku/>
        <w:wordWrap/>
        <w:overflowPunct w:val="0"/>
        <w:topLinePunct/>
        <w:autoSpaceDE/>
        <w:autoSpaceDN/>
        <w:bidi w:val="0"/>
        <w:adjustRightInd/>
        <w:snapToGrid/>
        <w:spacing w:line="560" w:lineRule="exact"/>
        <w:ind w:firstLine="5372" w:firstLineChars="1700"/>
        <w:jc w:val="both"/>
        <w:textAlignment w:val="auto"/>
        <w:outlineLvl w:val="9"/>
        <w:rPr>
          <w:rFonts w:hint="eastAsia" w:ascii="仿宋_GB2312" w:hAnsi="仿宋_GB2312" w:cs="仿宋_GB2312"/>
          <w:color w:val="auto"/>
          <w:kern w:val="0"/>
          <w:lang w:val="en-US" w:eastAsia="zh-CN"/>
        </w:rPr>
      </w:pPr>
    </w:p>
    <w:p w14:paraId="774B6AD9">
      <w:pPr>
        <w:keepNext w:val="0"/>
        <w:keepLines w:val="0"/>
        <w:pageBreakBefore w:val="0"/>
        <w:widowControl w:val="0"/>
        <w:kinsoku/>
        <w:wordWrap/>
        <w:overflowPunct w:val="0"/>
        <w:topLinePunct/>
        <w:autoSpaceDE/>
        <w:autoSpaceDN/>
        <w:bidi w:val="0"/>
        <w:adjustRightInd/>
        <w:snapToGrid/>
        <w:spacing w:line="560" w:lineRule="exact"/>
        <w:ind w:firstLine="5372" w:firstLineChars="1700"/>
        <w:jc w:val="both"/>
        <w:textAlignment w:val="auto"/>
        <w:outlineLvl w:val="9"/>
        <w:rPr>
          <w:rFonts w:hint="eastAsia" w:ascii="仿宋_GB2312" w:hAnsi="仿宋_GB2312" w:cs="仿宋_GB2312"/>
          <w:color w:val="auto"/>
          <w:kern w:val="0"/>
          <w:lang w:val="en-US" w:eastAsia="zh-CN"/>
        </w:rPr>
      </w:pPr>
    </w:p>
    <w:p w14:paraId="5AA47EED">
      <w:pPr>
        <w:keepNext w:val="0"/>
        <w:keepLines w:val="0"/>
        <w:pageBreakBefore w:val="0"/>
        <w:widowControl w:val="0"/>
        <w:kinsoku/>
        <w:wordWrap/>
        <w:overflowPunct w:val="0"/>
        <w:topLinePunct/>
        <w:autoSpaceDE/>
        <w:autoSpaceDN/>
        <w:bidi w:val="0"/>
        <w:adjustRightInd/>
        <w:snapToGrid/>
        <w:spacing w:line="560" w:lineRule="exact"/>
        <w:ind w:firstLine="5372" w:firstLineChars="1700"/>
        <w:jc w:val="both"/>
        <w:textAlignment w:val="auto"/>
        <w:outlineLvl w:val="9"/>
        <w:rPr>
          <w:rFonts w:hint="eastAsia" w:ascii="仿宋_GB2312" w:hAnsi="仿宋_GB2312" w:eastAsia="仿宋_GB2312" w:cs="仿宋_GB2312"/>
          <w:color w:val="auto"/>
          <w:kern w:val="0"/>
          <w:lang w:eastAsia="zh-CN"/>
        </w:rPr>
      </w:pPr>
      <w:r>
        <w:rPr>
          <w:rFonts w:hint="eastAsia" w:ascii="仿宋_GB2312" w:hAnsi="仿宋_GB2312" w:cs="仿宋_GB2312"/>
          <w:color w:val="auto"/>
          <w:kern w:val="0"/>
          <w:lang w:val="en-US" w:eastAsia="zh-CN"/>
        </w:rPr>
        <w:t xml:space="preserve">                                                                                                                                                                                            </w:t>
      </w:r>
    </w:p>
    <w:p w14:paraId="41EBDD17">
      <w:pPr>
        <w:spacing w:line="20" w:lineRule="exact"/>
      </w:pPr>
      <w:bookmarkStart w:id="0" w:name="_GoBack"/>
      <w:bookmarkEnd w:id="0"/>
    </w:p>
    <w:sectPr>
      <w:headerReference r:id="rId3" w:type="default"/>
      <w:footerReference r:id="rId4" w:type="default"/>
      <w:pgSz w:w="11906" w:h="16838"/>
      <w:pgMar w:top="2098" w:right="1474" w:bottom="1984" w:left="1587" w:header="851" w:footer="1587" w:gutter="0"/>
      <w:pgNumType w:fmt="decimal"/>
      <w:cols w:space="0" w:num="1"/>
      <w:rtlGutter w:val="0"/>
      <w:docGrid w:type="linesAndChars" w:linePitch="49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A2416E-396F-49FB-9CF4-420CBCEA6C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7EFC3F7-7E18-4551-BFBD-5AAED1948C2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E6E7E51B-BFD3-433D-975C-C2C1879C02F2}"/>
  </w:font>
  <w:font w:name="楷体_GB2312">
    <w:altName w:val="楷体"/>
    <w:panose1 w:val="02010609030101010101"/>
    <w:charset w:val="86"/>
    <w:family w:val="modern"/>
    <w:pitch w:val="default"/>
    <w:sig w:usb0="00000000" w:usb1="00000000" w:usb2="00000000" w:usb3="00000000" w:csb0="00040000" w:csb1="00000000"/>
    <w:embedRegular r:id="rId4" w:fontKey="{D6A40452-DE1E-4D6E-B6AE-F1B483BC633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CA4C">
    <w:pPr>
      <w:snapToGrid w:val="0"/>
      <w:ind w:right="320" w:rightChars="100"/>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190500</wp:posOffset>
              </wp:positionV>
              <wp:extent cx="117792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779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EE611">
                          <w:pPr>
                            <w:snapToGrid w:val="0"/>
                            <w:ind w:right="320" w:rightChars="100" w:firstLine="280" w:firstLineChars="1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92.75pt;mso-position-horizontal:outside;mso-position-horizontal-relative:margin;z-index:251660288;mso-width-relative:page;mso-height-relative:page;" filled="f" stroked="f" coordsize="21600,21600" o:gfxdata="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Q/jpNUAAAAHAQAADwAAAAAAAAABACAAAAAiAAAAZHJzL2Rvd25y&#10;ZXYueG1sUEsBAhQAFAAAAAgAh07iQMzj64k6AgAAYwQAAA4AAAAAAAAAAQAgAAAAJAEAAGRycy9l&#10;Mm9Eb2MueG1sUEsFBgAAAAAGAAYAWQEAANAFAAAAAA==&#10;">
              <v:fill on="f" focussize="0,0"/>
              <v:stroke on="f" weight="0.5pt"/>
              <v:imagedata o:title=""/>
              <o:lock v:ext="edit" aspectratio="f"/>
              <v:textbox inset="0mm,0mm,0mm,0mm" style="mso-fit-shape-to-text:t;">
                <w:txbxContent>
                  <w:p w14:paraId="573EE611">
                    <w:pPr>
                      <w:snapToGrid w:val="0"/>
                      <w:ind w:right="320" w:rightChars="100" w:firstLine="280" w:firstLineChars="1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posOffset>3317240</wp:posOffset>
              </wp:positionH>
              <wp:positionV relativeFrom="paragraph">
                <wp:posOffset>-19050</wp:posOffset>
              </wp:positionV>
              <wp:extent cx="93726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7260" cy="1828800"/>
                      </a:xfrm>
                      <a:prstGeom prst="rect">
                        <a:avLst/>
                      </a:prstGeom>
                      <a:noFill/>
                      <a:ln w="6350">
                        <a:noFill/>
                      </a:ln>
                      <a:effectLst/>
                    </wps:spPr>
                    <wps:txbx>
                      <w:txbxContent>
                        <w:p w14:paraId="442C186D">
                          <w:pPr>
                            <w:rPr>
                              <w:rFonts w:hint="eastAsia"/>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1.2pt;margin-top:-1.5pt;height:144pt;width:73.8pt;mso-position-horizontal-relative:margin;z-index:251659264;mso-width-relative:page;mso-height-relative:page;" filled="f" stroked="f" coordsize="21600,21600" o:gfxdata="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&#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Zl2QAAAAoBAAAPAAAAAAAAAAEAIAAAACIAAABk&#10;cnMvZG93bnJldi54bWxQSwECFAAUAAAACACHTuJAoyGl6T4CAABwBAAADgAAAAAAAAABACAAAAAo&#10;AQAAZHJzL2Uyb0RvYy54bWxQSwUGAAAAAAYABgBZAQAA2AUAAAAA&#10;">
              <v:fill on="f" focussize="0,0"/>
              <v:stroke on="f" weight="0.5pt"/>
              <v:imagedata o:title=""/>
              <o:lock v:ext="edit" aspectratio="f"/>
              <v:textbox inset="0mm,0mm,0mm,0mm" style="mso-fit-shape-to-text:t;">
                <w:txbxContent>
                  <w:p w14:paraId="442C186D">
                    <w:pPr>
                      <w:rPr>
                        <w:rFonts w:hint="eastAsia"/>
                      </w:rPr>
                    </w:pPr>
                  </w:p>
                </w:txbxContent>
              </v:textbox>
            </v:shape>
          </w:pict>
        </mc:Fallback>
      </mc:AlternateContent>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5F4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26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MDMyMWY1MzZiNWVhNGM0NGE1MmMyMGMxZWM1OTQifQ=="/>
  </w:docVars>
  <w:rsids>
    <w:rsidRoot w:val="4CFE4B17"/>
    <w:rsid w:val="00DA71A3"/>
    <w:rsid w:val="03655CA8"/>
    <w:rsid w:val="05E57574"/>
    <w:rsid w:val="05F94B45"/>
    <w:rsid w:val="06C116E7"/>
    <w:rsid w:val="07360A63"/>
    <w:rsid w:val="082B4688"/>
    <w:rsid w:val="089A68A9"/>
    <w:rsid w:val="09A35F80"/>
    <w:rsid w:val="0C043AB6"/>
    <w:rsid w:val="0C457F1A"/>
    <w:rsid w:val="0D1254E1"/>
    <w:rsid w:val="0FE07E06"/>
    <w:rsid w:val="104E686E"/>
    <w:rsid w:val="13113687"/>
    <w:rsid w:val="14112D52"/>
    <w:rsid w:val="14223741"/>
    <w:rsid w:val="187D188E"/>
    <w:rsid w:val="1AE3553E"/>
    <w:rsid w:val="1B9A7FC5"/>
    <w:rsid w:val="1D316A58"/>
    <w:rsid w:val="1D38190A"/>
    <w:rsid w:val="1D3A08A0"/>
    <w:rsid w:val="1DBC45A1"/>
    <w:rsid w:val="1E5903C3"/>
    <w:rsid w:val="1F877DFC"/>
    <w:rsid w:val="2032294D"/>
    <w:rsid w:val="20E37B26"/>
    <w:rsid w:val="21C26BAF"/>
    <w:rsid w:val="23013D5E"/>
    <w:rsid w:val="24283F23"/>
    <w:rsid w:val="26B048A9"/>
    <w:rsid w:val="27DB13FA"/>
    <w:rsid w:val="283553F8"/>
    <w:rsid w:val="28F424E6"/>
    <w:rsid w:val="295F3E30"/>
    <w:rsid w:val="2A4144C9"/>
    <w:rsid w:val="2C462C7F"/>
    <w:rsid w:val="2D712075"/>
    <w:rsid w:val="2E7D5D58"/>
    <w:rsid w:val="2EE532F7"/>
    <w:rsid w:val="30152E70"/>
    <w:rsid w:val="30356379"/>
    <w:rsid w:val="33330F40"/>
    <w:rsid w:val="34FA6B34"/>
    <w:rsid w:val="353E13D7"/>
    <w:rsid w:val="35AB6264"/>
    <w:rsid w:val="37240BC0"/>
    <w:rsid w:val="37F33196"/>
    <w:rsid w:val="3B004815"/>
    <w:rsid w:val="3CAE2A79"/>
    <w:rsid w:val="3DBBE087"/>
    <w:rsid w:val="3F3700A0"/>
    <w:rsid w:val="3FD79140"/>
    <w:rsid w:val="40A75946"/>
    <w:rsid w:val="41435016"/>
    <w:rsid w:val="4190205F"/>
    <w:rsid w:val="41B15E32"/>
    <w:rsid w:val="42734FE4"/>
    <w:rsid w:val="437C67F9"/>
    <w:rsid w:val="46A3427D"/>
    <w:rsid w:val="4ADFBA6A"/>
    <w:rsid w:val="4CBE5232"/>
    <w:rsid w:val="4CFE4B17"/>
    <w:rsid w:val="4D9106CD"/>
    <w:rsid w:val="4D965947"/>
    <w:rsid w:val="4F657F93"/>
    <w:rsid w:val="50B05655"/>
    <w:rsid w:val="51F04E51"/>
    <w:rsid w:val="5231755D"/>
    <w:rsid w:val="52FD0652"/>
    <w:rsid w:val="54926A64"/>
    <w:rsid w:val="56933917"/>
    <w:rsid w:val="58A53BF9"/>
    <w:rsid w:val="59C32CA9"/>
    <w:rsid w:val="59DE7CE2"/>
    <w:rsid w:val="5AFEA5C3"/>
    <w:rsid w:val="5BD31CC9"/>
    <w:rsid w:val="5D8453C5"/>
    <w:rsid w:val="5EB940FA"/>
    <w:rsid w:val="5F80049C"/>
    <w:rsid w:val="61AE5715"/>
    <w:rsid w:val="634207ED"/>
    <w:rsid w:val="635D341B"/>
    <w:rsid w:val="653F4F3F"/>
    <w:rsid w:val="6B8653A3"/>
    <w:rsid w:val="6BED6318"/>
    <w:rsid w:val="6D565383"/>
    <w:rsid w:val="70607D65"/>
    <w:rsid w:val="70E64A50"/>
    <w:rsid w:val="713D6E21"/>
    <w:rsid w:val="71FB4E70"/>
    <w:rsid w:val="734549C2"/>
    <w:rsid w:val="74D472B5"/>
    <w:rsid w:val="76F021B0"/>
    <w:rsid w:val="77FC09CD"/>
    <w:rsid w:val="78011556"/>
    <w:rsid w:val="7B9E0A5B"/>
    <w:rsid w:val="7BC167E5"/>
    <w:rsid w:val="7E753642"/>
    <w:rsid w:val="7EED4BDD"/>
    <w:rsid w:val="7EF92F04"/>
    <w:rsid w:val="7F7392B6"/>
    <w:rsid w:val="7FDD4804"/>
    <w:rsid w:val="BACF293E"/>
    <w:rsid w:val="BEF15A72"/>
    <w:rsid w:val="D75FB7C1"/>
    <w:rsid w:val="DCFB8E3D"/>
    <w:rsid w:val="DE7F0C4B"/>
    <w:rsid w:val="FFEDD48D"/>
    <w:rsid w:val="FFFFA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heme="minorBidi"/>
      <w:kern w:val="2"/>
      <w:sz w:val="32"/>
      <w:szCs w:val="32"/>
      <w:lang w:val="en-US" w:eastAsia="zh-CN" w:bidi="ar-SA"/>
    </w:rPr>
  </w:style>
  <w:style w:type="paragraph" w:styleId="2">
    <w:name w:val="heading 3"/>
    <w:basedOn w:val="1"/>
    <w:next w:val="1"/>
    <w:qFormat/>
    <w:uiPriority w:val="0"/>
    <w:pPr>
      <w:keepNext/>
      <w:keepLines/>
      <w:spacing w:before="260" w:after="260" w:line="415" w:lineRule="auto"/>
      <w:outlineLvl w:val="2"/>
    </w:pPr>
    <w:rPr>
      <w:b/>
      <w:sz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rFonts w:ascii="Times New Roman" w:hAnsi="Times New Roman" w:eastAsia="仿宋_GB231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rPr>
      <w:rFonts w:ascii="Calibri" w:hAnsi="Calibri" w:eastAsia="仿宋"/>
      <w:sz w:val="3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3751</Words>
  <Characters>3893</Characters>
  <Lines>0</Lines>
  <Paragraphs>0</Paragraphs>
  <TotalTime>12</TotalTime>
  <ScaleCrop>false</ScaleCrop>
  <LinksUpToDate>false</LinksUpToDate>
  <CharactersWithSpaces>4216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2018-02-01T08:47:00Z</dcterms:created>
  <dc:creator>王海霞</dc:creator>
  <cp:lastModifiedBy>孙丽</cp:lastModifiedBy>
  <cp:lastPrinted>2022-01-12T03:15:00Z</cp:lastPrinted>
  <dcterms:modified xsi:type="dcterms:W3CDTF">2026-03-05T08:32:02Z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563A2A680A6747BA91DCADA8D36F5AD4_13</vt:lpwstr>
  </property>
  <property fmtid="{D5CDD505-2E9C-101B-9397-08002B2CF9AE}" pid="4" name="KSOTemplateDocerSaveRecord">
    <vt:lpwstr>eyJoZGlkIjoiYmY2NDRhYzQyYjI4MmUzOWUyNTMzZTJmMTZiZTdkNzciLCJ1c2VySWQiOiIxNTk1NzQxNDI0In0=</vt:lpwstr>
  </property>
</Properties>
</file>