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83C87">
      <w:pPr>
        <w:autoSpaceDE w:val="0"/>
        <w:autoSpaceDN w:val="0"/>
        <w:adjustRightInd w:val="0"/>
        <w:spacing w:line="480" w:lineRule="auto"/>
        <w:jc w:val="center"/>
        <w:rPr>
          <w:rFonts w:hint="eastAsia" w:ascii="方正小标宋简体" w:hAnsi="方正小标宋简体" w:eastAsia="方正小标宋简体" w:cs="方正小标宋简体"/>
          <w:b w:val="0"/>
          <w:bCs w:val="0"/>
          <w:kern w:val="0"/>
          <w:sz w:val="36"/>
          <w:szCs w:val="36"/>
          <w:lang w:val="zh-CN"/>
        </w:rPr>
      </w:pPr>
      <w:r>
        <w:rPr>
          <w:rFonts w:hint="eastAsia" w:ascii="方正小标宋简体" w:hAnsi="方正小标宋简体" w:eastAsia="方正小标宋简体" w:cs="方正小标宋简体"/>
          <w:b w:val="0"/>
          <w:bCs w:val="0"/>
          <w:kern w:val="0"/>
          <w:sz w:val="36"/>
          <w:szCs w:val="36"/>
          <w:lang w:val="zh-CN"/>
        </w:rPr>
        <w:t>商标权转让合同</w:t>
      </w:r>
    </w:p>
    <w:p w14:paraId="73827BE1">
      <w:pPr>
        <w:autoSpaceDE w:val="0"/>
        <w:autoSpaceDN w:val="0"/>
        <w:adjustRightInd w:val="0"/>
        <w:spacing w:line="480" w:lineRule="auto"/>
        <w:jc w:val="left"/>
        <w:rPr>
          <w:rFonts w:hint="eastAsia" w:ascii="宋体"/>
          <w:kern w:val="0"/>
          <w:sz w:val="24"/>
          <w:szCs w:val="20"/>
          <w:lang w:val="zh-CN"/>
        </w:rPr>
      </w:pPr>
    </w:p>
    <w:p w14:paraId="1A2BC198">
      <w:pPr>
        <w:keepNext w:val="0"/>
        <w:keepLines w:val="0"/>
        <w:pageBreakBefore w:val="0"/>
        <w:widowControl w:val="0"/>
        <w:kinsoku/>
        <w:wordWrap/>
        <w:overflowPunct/>
        <w:topLinePunct w:val="0"/>
        <w:autoSpaceDE w:val="0"/>
        <w:autoSpaceDN w:val="0"/>
        <w:bidi w:val="0"/>
        <w:adjustRightInd w:val="0"/>
        <w:snapToGrid/>
        <w:spacing w:line="480" w:lineRule="auto"/>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商标权转让方（甲方）：</w:t>
      </w:r>
      <w:r>
        <w:rPr>
          <w:rFonts w:hint="eastAsia" w:ascii="仿宋_GB2312" w:hAnsi="仿宋_GB2312" w:eastAsia="仿宋_GB2312" w:cs="仿宋_GB2312"/>
          <w:kern w:val="0"/>
          <w:sz w:val="32"/>
          <w:szCs w:val="32"/>
          <w:u w:val="single"/>
          <w:lang w:val="zh-CN"/>
        </w:rPr>
        <w:t xml:space="preserve">                           </w:t>
      </w:r>
    </w:p>
    <w:p w14:paraId="19375CFE">
      <w:pPr>
        <w:keepNext w:val="0"/>
        <w:keepLines w:val="0"/>
        <w:pageBreakBefore w:val="0"/>
        <w:widowControl w:val="0"/>
        <w:kinsoku/>
        <w:wordWrap/>
        <w:overflowPunct/>
        <w:topLinePunct w:val="0"/>
        <w:autoSpaceDE w:val="0"/>
        <w:autoSpaceDN w:val="0"/>
        <w:bidi w:val="0"/>
        <w:adjustRightInd w:val="0"/>
        <w:snapToGrid/>
        <w:spacing w:line="480" w:lineRule="auto"/>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bookmarkStart w:id="0" w:name="_GoBack"/>
      <w:bookmarkEnd w:id="0"/>
    </w:p>
    <w:p w14:paraId="26B072BE">
      <w:pPr>
        <w:keepNext w:val="0"/>
        <w:keepLines w:val="0"/>
        <w:pageBreakBefore w:val="0"/>
        <w:widowControl w:val="0"/>
        <w:kinsoku/>
        <w:wordWrap/>
        <w:overflowPunct/>
        <w:topLinePunct w:val="0"/>
        <w:autoSpaceDE w:val="0"/>
        <w:autoSpaceDN w:val="0"/>
        <w:bidi w:val="0"/>
        <w:adjustRightInd w:val="0"/>
        <w:snapToGrid/>
        <w:spacing w:line="480" w:lineRule="auto"/>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商标权受让方（乙方）：</w:t>
      </w:r>
      <w:r>
        <w:rPr>
          <w:rFonts w:hint="eastAsia" w:ascii="仿宋_GB2312" w:hAnsi="仿宋_GB2312" w:eastAsia="仿宋_GB2312" w:cs="仿宋_GB2312"/>
          <w:kern w:val="0"/>
          <w:sz w:val="32"/>
          <w:szCs w:val="32"/>
          <w:u w:val="single"/>
          <w:lang w:val="zh-CN"/>
        </w:rPr>
        <w:t xml:space="preserve">                           </w:t>
      </w:r>
    </w:p>
    <w:p w14:paraId="16A9C953">
      <w:pPr>
        <w:keepNext w:val="0"/>
        <w:keepLines w:val="0"/>
        <w:pageBreakBefore w:val="0"/>
        <w:widowControl w:val="0"/>
        <w:kinsoku/>
        <w:wordWrap/>
        <w:overflowPunct/>
        <w:topLinePunct w:val="0"/>
        <w:autoSpaceDE w:val="0"/>
        <w:autoSpaceDN w:val="0"/>
        <w:bidi w:val="0"/>
        <w:adjustRightInd w:val="0"/>
        <w:snapToGrid/>
        <w:spacing w:line="480" w:lineRule="auto"/>
        <w:ind w:firstLine="640" w:firstLineChars="200"/>
        <w:jc w:val="left"/>
        <w:textAlignment w:val="auto"/>
        <w:rPr>
          <w:rFonts w:hint="eastAsia" w:ascii="仿宋_GB2312" w:hAnsi="仿宋_GB2312" w:eastAsia="仿宋_GB2312" w:cs="仿宋_GB2312"/>
          <w:kern w:val="0"/>
          <w:sz w:val="32"/>
          <w:szCs w:val="32"/>
          <w:lang w:val="zh-CN"/>
        </w:rPr>
      </w:pPr>
    </w:p>
    <w:p w14:paraId="20FB0661">
      <w:pPr>
        <w:keepNext w:val="0"/>
        <w:keepLines w:val="0"/>
        <w:pageBreakBefore w:val="0"/>
        <w:widowControl w:val="0"/>
        <w:kinsoku/>
        <w:wordWrap/>
        <w:overflowPunct/>
        <w:topLinePunct w:val="0"/>
        <w:autoSpaceDE w:val="0"/>
        <w:autoSpaceDN w:val="0"/>
        <w:bidi w:val="0"/>
        <w:adjustRightInd w:val="0"/>
        <w:snapToGrid/>
        <w:spacing w:line="480" w:lineRule="auto"/>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甲、乙双方经协商一致，对商标权的转让达成如下协议：</w:t>
      </w:r>
    </w:p>
    <w:p w14:paraId="61E71A19">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p>
    <w:p w14:paraId="293E29CE">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转让的商标名称：</w:t>
      </w:r>
      <w:r>
        <w:rPr>
          <w:rFonts w:hint="eastAsia" w:ascii="仿宋_GB2312" w:hAnsi="仿宋_GB2312" w:eastAsia="仿宋_GB2312" w:cs="仿宋_GB2312"/>
          <w:kern w:val="0"/>
          <w:sz w:val="32"/>
          <w:szCs w:val="32"/>
          <w:u w:val="single"/>
          <w:lang w:val="zh-CN"/>
        </w:rPr>
        <w:t xml:space="preserve">                             </w:t>
      </w:r>
    </w:p>
    <w:p w14:paraId="5233F516">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p>
    <w:p w14:paraId="48D65F68">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　第二条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商标图样：（贴商标图样，并由转让方盖骑缝章）</w:t>
      </w:r>
    </w:p>
    <w:p w14:paraId="70651CA4">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p>
    <w:p w14:paraId="71A14FB9">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商标注册号： </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国别：</w:t>
      </w:r>
      <w:r>
        <w:rPr>
          <w:rFonts w:hint="eastAsia" w:ascii="仿宋_GB2312" w:hAnsi="仿宋_GB2312" w:eastAsia="仿宋_GB2312" w:cs="仿宋_GB2312"/>
          <w:kern w:val="0"/>
          <w:sz w:val="32"/>
          <w:szCs w:val="32"/>
          <w:u w:val="single"/>
          <w:lang w:val="zh-CN"/>
        </w:rPr>
        <w:t xml:space="preserve">           </w:t>
      </w:r>
    </w:p>
    <w:p w14:paraId="5621AFEC">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p>
    <w:p w14:paraId="3F97D2CE">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该商标下次应续展的时间：</w:t>
      </w:r>
      <w:r>
        <w:rPr>
          <w:rFonts w:hint="eastAsia" w:ascii="仿宋_GB2312" w:hAnsi="仿宋_GB2312" w:eastAsia="仿宋_GB2312" w:cs="仿宋_GB2312"/>
          <w:kern w:val="0"/>
          <w:sz w:val="32"/>
          <w:szCs w:val="32"/>
          <w:u w:val="single"/>
          <w:lang w:val="zh-CN"/>
        </w:rPr>
        <w:t xml:space="preserve">                   </w:t>
      </w:r>
    </w:p>
    <w:p w14:paraId="0D3F1659">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p>
    <w:p w14:paraId="3D803776">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　第五条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该商标取得注册所包括的商品或服务的类别及商品或服务的具体名称：</w:t>
      </w:r>
    </w:p>
    <w:p w14:paraId="237A721A">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　第六条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商标权转让方保证是上述商标的注册所有人。 在本合同签订前，该商标曾与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zh-CN"/>
        </w:rPr>
        <w:t>签订过非独占（或独占）的商标使用许可合同。本商标转让合同生效之日起，原与 签订的商标使用许可合同转由受让方为合同当事人，原合同所规定的全部权利和义务由受让方享有和承担。所有权转让事宜由转让方通告</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zh-CN"/>
        </w:rPr>
        <w:t>方。</w:t>
      </w:r>
    </w:p>
    <w:p w14:paraId="55A5A206">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第七条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商标权转让后，受让方的权限：</w:t>
      </w:r>
    </w:p>
    <w:p w14:paraId="0ABE91E1">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1.可以使用该商标的商品种类（或服务的类别及名称）：</w:t>
      </w:r>
      <w:r>
        <w:rPr>
          <w:rFonts w:hint="eastAsia" w:ascii="仿宋_GB2312" w:hAnsi="仿宋_GB2312" w:eastAsia="仿宋_GB2312" w:cs="仿宋_GB2312"/>
          <w:kern w:val="0"/>
          <w:sz w:val="32"/>
          <w:szCs w:val="32"/>
          <w:u w:val="single"/>
          <w:lang w:val="zh-CN"/>
        </w:rPr>
        <w:t xml:space="preserve">                               </w:t>
      </w:r>
    </w:p>
    <w:p w14:paraId="701B6731">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2.可以使用该商标的地域范围：</w:t>
      </w:r>
      <w:r>
        <w:rPr>
          <w:rFonts w:hint="eastAsia" w:ascii="仿宋_GB2312" w:hAnsi="仿宋_GB2312" w:eastAsia="仿宋_GB2312" w:cs="仿宋_GB2312"/>
          <w:kern w:val="0"/>
          <w:sz w:val="32"/>
          <w:szCs w:val="32"/>
          <w:u w:val="single"/>
          <w:lang w:val="zh-CN"/>
        </w:rPr>
        <w:t xml:space="preserve">                               </w:t>
      </w:r>
    </w:p>
    <w:p w14:paraId="019981EC">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第八条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商标权转让的性质：（可在下列项目中作出选择）</w:t>
      </w:r>
    </w:p>
    <w:p w14:paraId="7882769C">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1.永久性的商标权转让（    ）； 2.非永久性的商标权转让（    ）；</w:t>
      </w:r>
    </w:p>
    <w:p w14:paraId="793A229A">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第九条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商标权转让的时间： 自本合同生效之日起，或办妥商标转让变更注册手续后，该商标权正式转归受让方。 属非永久性商标权转让的，商标权转让的期限为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年，自</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日至</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日。转让方将在本合同期满之日起收回商标权。</w:t>
      </w:r>
    </w:p>
    <w:p w14:paraId="3E09AD1D">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第十条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val="zh-CN"/>
        </w:rPr>
        <w:t>商标转让合同生效后的变更手续： 由甲方（或乙方）在商标权转让合同生效后，办理变更注册人的手续，变更注册人所需费用由</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方承担。</w:t>
      </w:r>
    </w:p>
    <w:p w14:paraId="545E8915">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第十一条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商品质量的保证：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 属非永久性转让的，转让方可以监督受让方的生产，并有权检查受让方生产情况和产品质量。</w:t>
      </w:r>
    </w:p>
    <w:p w14:paraId="2054C5DE">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第十二条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双方均承担保守对方生产经营情况秘密的义务；受让方在合同期内及合同期后，不得泄露转让方为转让该商标而一同提供的技术秘密与商业秘密。</w:t>
      </w:r>
    </w:p>
    <w:p w14:paraId="20DDB0DA">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第十三条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转让方应保证被转让的商标为有效商标，并保证没有第三方拥有该商标所有权。</w:t>
      </w:r>
    </w:p>
    <w:p w14:paraId="23558587">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第十四条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商标权转让的转让费与付款方式：</w:t>
      </w:r>
    </w:p>
    <w:p w14:paraId="7C778C04">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1.转让费按转让的权限计算共</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万元；</w:t>
      </w:r>
    </w:p>
    <w:p w14:paraId="66643AD9">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2.付款方式：</w:t>
      </w:r>
      <w:r>
        <w:rPr>
          <w:rFonts w:hint="eastAsia" w:ascii="仿宋_GB2312" w:hAnsi="仿宋_GB2312" w:eastAsia="仿宋_GB2312" w:cs="仿宋_GB2312"/>
          <w:kern w:val="0"/>
          <w:sz w:val="32"/>
          <w:szCs w:val="32"/>
          <w:u w:val="single"/>
          <w:lang w:val="zh-CN"/>
        </w:rPr>
        <w:t xml:space="preserve">                                       </w:t>
      </w:r>
    </w:p>
    <w:p w14:paraId="6DACDB58">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3.付款时间：</w:t>
      </w:r>
      <w:r>
        <w:rPr>
          <w:rFonts w:hint="eastAsia" w:ascii="仿宋_GB2312" w:hAnsi="仿宋_GB2312" w:eastAsia="仿宋_GB2312" w:cs="仿宋_GB2312"/>
          <w:kern w:val="0"/>
          <w:sz w:val="32"/>
          <w:szCs w:val="32"/>
          <w:u w:val="single"/>
          <w:lang w:val="zh-CN"/>
        </w:rPr>
        <w:t xml:space="preserve">                                       </w:t>
      </w:r>
    </w:p>
    <w:p w14:paraId="55C997D2">
      <w:pPr>
        <w:autoSpaceDE w:val="0"/>
        <w:autoSpaceDN w:val="0"/>
        <w:adjustRightInd w:val="0"/>
        <w:spacing w:line="480" w:lineRule="auto"/>
        <w:ind w:firstLine="64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第十五条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转让方保证在合同有效期内，不在该商标的注册有效地域内经营带有相同或相似商标的商品，也不得从事其他与该商品的产、销相竞争的活动。 </w:t>
      </w:r>
    </w:p>
    <w:p w14:paraId="0AC895CA">
      <w:pPr>
        <w:autoSpaceDE w:val="0"/>
        <w:autoSpaceDN w:val="0"/>
        <w:adjustRightInd w:val="0"/>
        <w:spacing w:line="480" w:lineRule="auto"/>
        <w:ind w:firstLine="64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第十六条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双方的违约责任：</w:t>
      </w:r>
    </w:p>
    <w:p w14:paraId="1723AB19">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1. 转让方在本合同生效后，违反合同规定，仍在生产的商品上继续使用本商标，除应停止使用本商标外，还应承担赔偿责任。</w:t>
      </w:r>
    </w:p>
    <w:p w14:paraId="2F4F103E">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2. 受让方在合同约定的时间内，未交付商标转让费的，转让方有权拒绝交付商标的所有权，并可以通知受让方解除合同；</w:t>
      </w:r>
    </w:p>
    <w:p w14:paraId="355E0A3D">
      <w:pPr>
        <w:autoSpaceDE w:val="0"/>
        <w:autoSpaceDN w:val="0"/>
        <w:adjustRightInd w:val="0"/>
        <w:spacing w:line="480" w:lineRule="auto"/>
        <w:ind w:firstLine="480"/>
        <w:jc w:val="left"/>
        <w:rPr>
          <w:rFonts w:hint="eastAsia" w:ascii="仿宋_GB2312" w:hAnsi="仿宋_GB2312" w:eastAsia="仿宋_GB2312" w:cs="仿宋_GB2312"/>
          <w:kern w:val="0"/>
          <w:sz w:val="32"/>
          <w:szCs w:val="32"/>
          <w:u w:val="single"/>
          <w:lang w:val="zh-CN"/>
        </w:rPr>
      </w:pPr>
      <w:r>
        <w:rPr>
          <w:rFonts w:hint="eastAsia" w:ascii="仿宋_GB2312" w:hAnsi="仿宋_GB2312" w:eastAsia="仿宋_GB2312" w:cs="仿宋_GB2312"/>
          <w:kern w:val="0"/>
          <w:sz w:val="32"/>
          <w:szCs w:val="32"/>
          <w:lang w:val="zh-CN"/>
        </w:rPr>
        <w:t>3. 其他：</w:t>
      </w:r>
      <w:r>
        <w:rPr>
          <w:rFonts w:hint="eastAsia" w:ascii="仿宋_GB2312" w:hAnsi="仿宋_GB2312" w:eastAsia="仿宋_GB2312" w:cs="仿宋_GB2312"/>
          <w:kern w:val="0"/>
          <w:sz w:val="32"/>
          <w:szCs w:val="32"/>
          <w:u w:val="single"/>
          <w:lang w:val="zh-CN"/>
        </w:rPr>
        <w:t xml:space="preserve">                                                                                  </w:t>
      </w:r>
    </w:p>
    <w:p w14:paraId="4DA5D15C">
      <w:pPr>
        <w:autoSpaceDE w:val="0"/>
        <w:autoSpaceDN w:val="0"/>
        <w:adjustRightInd w:val="0"/>
        <w:spacing w:line="480" w:lineRule="auto"/>
        <w:ind w:firstLine="48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w:t>
      </w:r>
    </w:p>
    <w:p w14:paraId="27CEDB86">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b/>
          <w:bCs/>
          <w:kern w:val="0"/>
          <w:sz w:val="32"/>
          <w:szCs w:val="32"/>
          <w:lang w:val="zh-CN"/>
        </w:rPr>
        <w:t>第十七条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其他条款或双方商定的其他事项：</w:t>
      </w:r>
    </w:p>
    <w:p w14:paraId="7E740084">
      <w:pPr>
        <w:keepNext w:val="0"/>
        <w:keepLines w:val="0"/>
        <w:pageBreakBefore w:val="0"/>
        <w:widowControl w:val="0"/>
        <w:kinsoku/>
        <w:wordWrap/>
        <w:overflowPunct/>
        <w:topLinePunct w:val="0"/>
        <w:autoSpaceDE w:val="0"/>
        <w:autoSpaceDN w:val="0"/>
        <w:bidi w:val="0"/>
        <w:adjustRightInd w:val="0"/>
        <w:snapToGrid/>
        <w:spacing w:line="480" w:lineRule="auto"/>
        <w:ind w:firstLine="643" w:firstLineChars="200"/>
        <w:jc w:val="left"/>
        <w:textAlignment w:val="auto"/>
        <w:rPr>
          <w:rFonts w:hint="eastAsia" w:ascii="仿宋_GB2312" w:hAnsi="仿宋_GB2312" w:eastAsia="仿宋_GB2312" w:cs="仿宋_GB2312"/>
          <w:kern w:val="0"/>
          <w:sz w:val="32"/>
          <w:szCs w:val="32"/>
          <w:u w:val="single"/>
          <w:lang w:val="zh-CN"/>
        </w:rPr>
      </w:pPr>
      <w:r>
        <w:rPr>
          <w:rFonts w:hint="eastAsia" w:ascii="仿宋_GB2312" w:hAnsi="仿宋_GB2312" w:eastAsia="仿宋_GB2312" w:cs="仿宋_GB2312"/>
          <w:b/>
          <w:bCs/>
          <w:kern w:val="0"/>
          <w:sz w:val="32"/>
          <w:szCs w:val="32"/>
          <w:lang w:val="zh-CN"/>
        </w:rPr>
        <w:t>第十八条</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zh-CN"/>
        </w:rPr>
        <w:t>因本合同引起的或与本合同有关的任何争议，</w:t>
      </w:r>
      <w:r>
        <w:rPr>
          <w:rFonts w:hint="eastAsia" w:ascii="仿宋_GB2312" w:hAnsi="仿宋_GB2312" w:eastAsia="仿宋_GB2312" w:cs="仿宋_GB2312"/>
          <w:b/>
          <w:bCs/>
          <w:kern w:val="0"/>
          <w:sz w:val="32"/>
          <w:szCs w:val="32"/>
          <w:u w:val="single"/>
          <w:lang w:val="zh-CN"/>
        </w:rPr>
        <w:t>均提请绵阳仲裁委员会按照该会仲裁规则进行仲裁</w:t>
      </w:r>
      <w:r>
        <w:rPr>
          <w:rFonts w:hint="eastAsia" w:ascii="仿宋_GB2312" w:hAnsi="仿宋_GB2312" w:eastAsia="仿宋_GB2312" w:cs="仿宋_GB2312"/>
          <w:kern w:val="0"/>
          <w:sz w:val="32"/>
          <w:szCs w:val="32"/>
          <w:u w:val="single"/>
          <w:lang w:val="zh-CN"/>
        </w:rPr>
        <w:t>。仲裁裁决是终局的，对双方均有约束力。</w:t>
      </w:r>
    </w:p>
    <w:p w14:paraId="27E58100">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w:t>
      </w:r>
      <w:r>
        <w:rPr>
          <w:rFonts w:hint="eastAsia" w:ascii="仿宋_GB2312" w:hAnsi="仿宋_GB2312" w:eastAsia="仿宋_GB2312" w:cs="仿宋_GB2312"/>
          <w:b/>
          <w:bCs/>
          <w:kern w:val="0"/>
          <w:sz w:val="32"/>
          <w:szCs w:val="32"/>
          <w:lang w:val="zh-CN"/>
        </w:rPr>
        <w:t>第十九条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本合同自签订之日起生效。但如果转让注册商标申请未经商标局核准的，本合同自然失效；责任由双方自负。</w:t>
      </w:r>
    </w:p>
    <w:p w14:paraId="5AEEDD0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送达方式及送达地址条款</w:t>
      </w:r>
    </w:p>
    <w:p w14:paraId="6B4A59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合同签订人所填写的地址信息，将作为通知、信件、律师函、法院文书、仲裁文书等一切书面文件的送达地址。若该地址送达的相关文件无人签收或被拒绝签收，则文件退回之日视为送达之日。</w:t>
      </w:r>
    </w:p>
    <w:p w14:paraId="7495A4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双方确认的送达地址如下：</w:t>
      </w:r>
    </w:p>
    <w:p w14:paraId="35802A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转让</w:t>
      </w:r>
      <w:r>
        <w:rPr>
          <w:rFonts w:hint="eastAsia" w:ascii="仿宋_GB2312" w:hAnsi="仿宋_GB2312" w:eastAsia="仿宋_GB2312" w:cs="仿宋_GB2312"/>
          <w:sz w:val="32"/>
          <w:szCs w:val="32"/>
        </w:rPr>
        <w:t>方地址：</w:t>
      </w:r>
    </w:p>
    <w:p w14:paraId="429A93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收件人：</w:t>
      </w:r>
    </w:p>
    <w:p w14:paraId="423C81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                   电子邮箱：            微信号：</w:t>
      </w:r>
    </w:p>
    <w:p w14:paraId="232A9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受让</w:t>
      </w:r>
      <w:r>
        <w:rPr>
          <w:rFonts w:hint="eastAsia" w:ascii="仿宋_GB2312" w:hAnsi="仿宋_GB2312" w:eastAsia="仿宋_GB2312" w:cs="仿宋_GB2312"/>
          <w:sz w:val="32"/>
          <w:szCs w:val="32"/>
        </w:rPr>
        <w:t>方地址：</w:t>
      </w:r>
    </w:p>
    <w:p w14:paraId="7895D1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收件人：</w:t>
      </w:r>
    </w:p>
    <w:p w14:paraId="310A24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                   电子邮箱：            微信号：</w:t>
      </w:r>
    </w:p>
    <w:p w14:paraId="03100F18">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w:t>
      </w:r>
    </w:p>
    <w:p w14:paraId="488FFC14">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转让方：（章）               受让方：（章）</w:t>
      </w:r>
    </w:p>
    <w:p w14:paraId="7207745D">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p>
    <w:p w14:paraId="3B5DC2BC">
      <w:pPr>
        <w:autoSpaceDE w:val="0"/>
        <w:autoSpaceDN w:val="0"/>
        <w:adjustRightInd w:val="0"/>
        <w:spacing w:line="480" w:lineRule="auto"/>
        <w:jc w:val="left"/>
        <w:rPr>
          <w:rFonts w:hint="eastAsia" w:ascii="仿宋_GB2312" w:hAnsi="仿宋_GB2312" w:eastAsia="仿宋_GB2312" w:cs="仿宋_GB2312"/>
          <w:kern w:val="0"/>
          <w:sz w:val="32"/>
          <w:szCs w:val="32"/>
          <w:u w:val="single"/>
          <w:lang w:val="zh-CN"/>
        </w:rPr>
      </w:pPr>
      <w:r>
        <w:rPr>
          <w:rFonts w:hint="eastAsia" w:ascii="仿宋_GB2312" w:hAnsi="仿宋_GB2312" w:eastAsia="仿宋_GB2312" w:cs="仿宋_GB2312"/>
          <w:kern w:val="0"/>
          <w:sz w:val="32"/>
          <w:szCs w:val="32"/>
          <w:lang w:val="zh-CN"/>
        </w:rPr>
        <w:t>法定代表人：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法定代表人：</w:t>
      </w:r>
      <w:r>
        <w:rPr>
          <w:rFonts w:hint="eastAsia" w:ascii="仿宋_GB2312" w:hAnsi="仿宋_GB2312" w:eastAsia="仿宋_GB2312" w:cs="仿宋_GB2312"/>
          <w:kern w:val="0"/>
          <w:sz w:val="32"/>
          <w:szCs w:val="32"/>
          <w:u w:val="single"/>
          <w:lang w:val="zh-CN"/>
        </w:rPr>
        <w:t xml:space="preserve">            </w:t>
      </w:r>
    </w:p>
    <w:p w14:paraId="63AE68F7">
      <w:pPr>
        <w:autoSpaceDE w:val="0"/>
        <w:autoSpaceDN w:val="0"/>
        <w:adjustRightInd w:val="0"/>
        <w:spacing w:line="480" w:lineRule="auto"/>
        <w:jc w:val="left"/>
        <w:rPr>
          <w:rFonts w:hint="eastAsia" w:ascii="仿宋_GB2312" w:hAnsi="仿宋_GB2312" w:eastAsia="仿宋_GB2312" w:cs="仿宋_GB2312"/>
          <w:kern w:val="0"/>
          <w:sz w:val="32"/>
          <w:szCs w:val="32"/>
          <w:lang w:val="zh-CN"/>
        </w:rPr>
      </w:pPr>
    </w:p>
    <w:p w14:paraId="7D98AC3D">
      <w:pPr>
        <w:autoSpaceDE w:val="0"/>
        <w:autoSpaceDN w:val="0"/>
        <w:adjustRightInd w:val="0"/>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合同签订时间：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日</w:t>
      </w:r>
    </w:p>
    <w:p w14:paraId="750293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TFmMTFjYmYxOGVlMGFiOGNiNjE1Zjk3NjEwOTcifQ=="/>
  </w:docVars>
  <w:rsids>
    <w:rsidRoot w:val="00000000"/>
    <w:rsid w:val="10762F3D"/>
    <w:rsid w:val="11147E76"/>
    <w:rsid w:val="1B0B550A"/>
    <w:rsid w:val="381B2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1681</Words>
  <Characters>1691</Characters>
  <Lines>0</Lines>
  <Paragraphs>0</Paragraphs>
  <TotalTime>0</TotalTime>
  <ScaleCrop>false</ScaleCrop>
  <LinksUpToDate>false</LinksUpToDate>
  <CharactersWithSpaces>2718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2023-09-12T08:29:00Z</dcterms:created>
  <dc:creator>zcw</dc:creator>
  <cp:lastModifiedBy>门学孟</cp:lastModifiedBy>
  <dcterms:modified xsi:type="dcterms:W3CDTF">2025-02-11T01:13:59Z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326B25C281524B46B2D2D979BBD568A4_12</vt:lpwstr>
  </property>
  <property fmtid="{D5CDD505-2E9C-101B-9397-08002B2CF9AE}" pid="4" name="KSOTemplateDocerSaveRecord">
    <vt:lpwstr>eyJoZGlkIjoiY2I1NWQ5MWJlMzAwM2E2Zjk2NzdlMThkNGMzNDE4MjgiLCJ1c2VySWQiOiIyNDE0NzM0NTUifQ==</vt:lpwstr>
  </property>
</Properties>
</file>