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5CEA0">
      <w:pPr>
        <w:pStyle w:val="2"/>
        <w:spacing w:before="0"/>
        <w:ind w:left="0"/>
        <w:jc w:val="center"/>
        <w:rPr>
          <w:rFonts w:hint="default" w:ascii="Times New Roman" w:eastAsia="方正书宋_GBK"/>
          <w:b/>
          <w:sz w:val="48"/>
          <w:szCs w:val="56"/>
          <w:lang w:val="en-US" w:eastAsia="zh-CN"/>
        </w:rPr>
      </w:pPr>
      <w:r>
        <w:rPr>
          <w:rFonts w:hint="eastAsia" w:ascii="Times New Roman"/>
          <w:b/>
          <w:sz w:val="48"/>
          <w:szCs w:val="56"/>
          <w:lang w:val="en-US" w:eastAsia="zh-CN"/>
        </w:rPr>
        <w:t>供水合同</w:t>
      </w:r>
    </w:p>
    <w:p w14:paraId="72860048">
      <w:pPr>
        <w:pStyle w:val="2"/>
        <w:spacing w:before="8"/>
        <w:ind w:left="0"/>
        <w:rPr>
          <w:rFonts w:ascii="Times New Roman"/>
          <w:b/>
          <w:sz w:val="27"/>
        </w:rPr>
      </w:pPr>
    </w:p>
    <w:p w14:paraId="5A0721FC">
      <w:pPr>
        <w:pStyle w:val="2"/>
        <w:spacing w:before="0" w:line="520" w:lineRule="exact"/>
        <w:ind w:left="0" w:leftChars="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为了明确供水人和用水人在水的供应和使用中的权利和义务，根据</w:t>
      </w:r>
      <w:r>
        <w:rPr>
          <w:rFonts w:hint="eastAsia" w:ascii="仿宋_GB2312" w:hAnsi="仿宋_GB2312" w:eastAsia="仿宋_GB2312" w:cs="仿宋_GB2312"/>
          <w:color w:val="231F20"/>
          <w:spacing w:val="-16"/>
          <w:sz w:val="28"/>
          <w:szCs w:val="28"/>
        </w:rPr>
        <w:t>有关</w:t>
      </w:r>
      <w:r>
        <w:rPr>
          <w:rFonts w:hint="eastAsia" w:ascii="仿宋_GB2312" w:hAnsi="仿宋_GB2312" w:eastAsia="仿宋_GB2312" w:cs="仿宋_GB2312"/>
          <w:color w:val="231F20"/>
          <w:spacing w:val="-16"/>
          <w:sz w:val="28"/>
          <w:szCs w:val="28"/>
          <w:lang w:eastAsia="zh-CN"/>
        </w:rPr>
        <w:t>法律法规</w:t>
      </w:r>
      <w:r>
        <w:rPr>
          <w:rFonts w:hint="eastAsia" w:ascii="仿宋_GB2312" w:hAnsi="仿宋_GB2312" w:eastAsia="仿宋_GB2312" w:cs="仿宋_GB2312"/>
          <w:color w:val="231F20"/>
          <w:spacing w:val="-16"/>
          <w:sz w:val="28"/>
          <w:szCs w:val="28"/>
        </w:rPr>
        <w:t>，和规章经供用水双方协商，订立本合同，以便共同遵守。</w:t>
      </w:r>
    </w:p>
    <w:p w14:paraId="2A4A534B">
      <w:pPr>
        <w:pStyle w:val="2"/>
        <w:tabs>
          <w:tab w:val="left" w:pos="143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第一条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用水地址、用水性质和用水量</w:t>
      </w:r>
    </w:p>
    <w:p w14:paraId="2D99F4D2">
      <w:pPr>
        <w:pStyle w:val="2"/>
        <w:tabs>
          <w:tab w:val="left" w:pos="3417"/>
          <w:tab w:val="left" w:pos="5783"/>
        </w:tabs>
        <w:spacing w:before="0" w:line="520" w:lineRule="exact"/>
        <w:ind w:left="0" w:right="0" w:firstLine="584"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6"/>
          <w:sz w:val="28"/>
          <w:szCs w:val="28"/>
        </w:rPr>
        <w:t>（一）用水地址</w:t>
      </w:r>
      <w:r>
        <w:rPr>
          <w:rFonts w:hint="eastAsia" w:ascii="仿宋_GB2312" w:hAnsi="仿宋_GB2312" w:eastAsia="仿宋_GB2312" w:cs="仿宋_GB2312"/>
          <w:color w:val="231F20"/>
          <w:sz w:val="28"/>
          <w:szCs w:val="28"/>
        </w:rPr>
        <w:t>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6"/>
          <w:sz w:val="28"/>
          <w:szCs w:val="28"/>
        </w:rPr>
        <w:t>。用水四至范</w:t>
      </w:r>
      <w:r>
        <w:rPr>
          <w:rFonts w:hint="eastAsia" w:ascii="仿宋_GB2312" w:hAnsi="仿宋_GB2312" w:eastAsia="仿宋_GB2312" w:cs="仿宋_GB2312"/>
          <w:color w:val="231F20"/>
          <w:sz w:val="28"/>
          <w:szCs w:val="28"/>
        </w:rPr>
        <w:t>围</w:t>
      </w:r>
      <w:r>
        <w:rPr>
          <w:rFonts w:hint="eastAsia" w:ascii="仿宋_GB2312" w:hAnsi="仿宋_GB2312" w:eastAsia="仿宋_GB2312" w:cs="仿宋_GB2312"/>
          <w:color w:val="231F20"/>
          <w:spacing w:val="6"/>
          <w:sz w:val="28"/>
          <w:szCs w:val="28"/>
        </w:rPr>
        <w:t>（即用水人用水</w:t>
      </w:r>
      <w:r>
        <w:rPr>
          <w:rFonts w:hint="eastAsia" w:ascii="仿宋_GB2312" w:hAnsi="仿宋_GB2312" w:eastAsia="仿宋_GB2312" w:cs="仿宋_GB2312"/>
          <w:color w:val="231F20"/>
          <w:sz w:val="28"/>
          <w:szCs w:val="28"/>
        </w:rPr>
        <w:t>区 域四周边界</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，是</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可制订详图作为附件）</w:t>
      </w:r>
    </w:p>
    <w:p w14:paraId="0CF161CB">
      <w:pPr>
        <w:pStyle w:val="2"/>
        <w:tabs>
          <w:tab w:val="left" w:pos="3967"/>
          <w:tab w:val="left" w:pos="682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（二）用水性质系</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用水，执行</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供水价格。</w:t>
      </w:r>
    </w:p>
    <w:p w14:paraId="52DFA8A9">
      <w:pPr>
        <w:pStyle w:val="2"/>
        <w:tabs>
          <w:tab w:val="left" w:pos="3747"/>
          <w:tab w:val="left" w:pos="6552"/>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（三）用水量为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立方米／日</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立方米／月。</w:t>
      </w:r>
    </w:p>
    <w:p w14:paraId="7CE73B21">
      <w:pPr>
        <w:pStyle w:val="2"/>
        <w:tabs>
          <w:tab w:val="left" w:pos="5122"/>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（四）计费总水表安装地点为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可制订详图作为附件</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w:t>
      </w:r>
    </w:p>
    <w:p w14:paraId="2820EF4B">
      <w:pPr>
        <w:pStyle w:val="2"/>
        <w:tabs>
          <w:tab w:val="left" w:pos="4627"/>
          <w:tab w:val="left" w:pos="770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（五）安装计费总水表共</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具，注册号为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6FDAD243">
      <w:pPr>
        <w:pStyle w:val="2"/>
        <w:tabs>
          <w:tab w:val="left" w:pos="143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第二条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供水方式和质量</w:t>
      </w:r>
    </w:p>
    <w:p w14:paraId="6F5EE6F0">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（一）在合同有效期内，供水人通过城市公共供水管网及附属设施向用水人提供不间断供水。</w:t>
      </w:r>
    </w:p>
    <w:p w14:paraId="5EB43CD3">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（二）用水人不能间断用水或者对水压，水质有特殊要求的，应当自行设置贮水、间接加压设施及水处理设备。</w:t>
      </w:r>
    </w:p>
    <w:p w14:paraId="6A8A661F">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（三）供水人保证城市公共供水管网水质符合国家《生活饮用水卫生标准》。</w:t>
      </w:r>
    </w:p>
    <w:p w14:paraId="30C7A50F">
      <w:pPr>
        <w:pStyle w:val="2"/>
        <w:tabs>
          <w:tab w:val="left" w:pos="6057"/>
          <w:tab w:val="left" w:pos="6978"/>
        </w:tabs>
        <w:spacing w:before="0" w:line="520" w:lineRule="exact"/>
        <w:ind w:left="0" w:right="0" w:firstLine="58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（四）供水人保证在计费总水表处的水压大于等</w:t>
      </w:r>
      <w:r>
        <w:rPr>
          <w:rFonts w:hint="eastAsia" w:ascii="仿宋_GB2312" w:hAnsi="仿宋_GB2312" w:eastAsia="仿宋_GB2312" w:cs="仿宋_GB2312"/>
          <w:color w:val="231F20"/>
          <w:sz w:val="28"/>
          <w:szCs w:val="28"/>
        </w:rPr>
        <w:t>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5"/>
          <w:sz w:val="28"/>
          <w:szCs w:val="28"/>
        </w:rPr>
        <w:t>兆</w:t>
      </w:r>
      <w:r>
        <w:rPr>
          <w:rFonts w:hint="eastAsia" w:ascii="仿宋_GB2312" w:hAnsi="仿宋_GB2312" w:eastAsia="仿宋_GB2312" w:cs="仿宋_GB2312"/>
          <w:color w:val="231F20"/>
          <w:sz w:val="28"/>
          <w:szCs w:val="28"/>
        </w:rPr>
        <w:t>帕</w:t>
      </w:r>
      <w:r>
        <w:rPr>
          <w:rFonts w:hint="eastAsia" w:ascii="仿宋_GB2312" w:hAnsi="仿宋_GB2312" w:eastAsia="仿宋_GB2312" w:cs="仿宋_GB2312"/>
          <w:color w:val="231F20"/>
          <w:spacing w:val="-48"/>
          <w:sz w:val="28"/>
          <w:szCs w:val="28"/>
        </w:rPr>
        <w:t>；</w:t>
      </w:r>
      <w:r>
        <w:rPr>
          <w:rFonts w:hint="eastAsia" w:ascii="仿宋_GB2312" w:hAnsi="仿宋_GB2312" w:eastAsia="仿宋_GB2312" w:cs="仿宋_GB2312"/>
          <w:color w:val="231F20"/>
          <w:spacing w:val="5"/>
          <w:sz w:val="28"/>
          <w:szCs w:val="28"/>
        </w:rPr>
        <w:t>以户表方式计费</w:t>
      </w:r>
      <w:r>
        <w:rPr>
          <w:rFonts w:hint="eastAsia" w:ascii="仿宋_GB2312" w:hAnsi="仿宋_GB2312" w:eastAsia="仿宋_GB2312" w:cs="仿宋_GB2312"/>
          <w:color w:val="231F20"/>
          <w:sz w:val="28"/>
          <w:szCs w:val="28"/>
        </w:rPr>
        <w:t>的，保证进入建筑物前阀门处的水压大于等于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兆帕。</w:t>
      </w:r>
    </w:p>
    <w:p w14:paraId="59356699">
      <w:pPr>
        <w:pStyle w:val="2"/>
        <w:tabs>
          <w:tab w:val="left" w:pos="143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第三条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用水计量、水价及水费结算方式</w:t>
      </w:r>
    </w:p>
    <w:p w14:paraId="6536CB10">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（一）用水计量</w:t>
      </w:r>
    </w:p>
    <w:p w14:paraId="797009A1">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1.</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pacing w:val="16"/>
          <w:sz w:val="28"/>
          <w:szCs w:val="28"/>
        </w:rPr>
        <w:t>用水的计量器具</w:t>
      </w:r>
      <w:r>
        <w:rPr>
          <w:rFonts w:hint="eastAsia" w:ascii="仿宋_GB2312" w:hAnsi="仿宋_GB2312" w:eastAsia="仿宋_GB2312" w:cs="仿宋_GB2312"/>
          <w:color w:val="231F20"/>
          <w:sz w:val="28"/>
          <w:szCs w:val="28"/>
        </w:rPr>
        <w:t>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pacing w:val="16"/>
          <w:sz w:val="28"/>
          <w:szCs w:val="28"/>
        </w:rPr>
        <w:t>计量</w:t>
      </w:r>
      <w:r>
        <w:rPr>
          <w:rFonts w:hint="eastAsia" w:ascii="仿宋_GB2312" w:hAnsi="仿宋_GB2312" w:eastAsia="仿宋_GB2312" w:cs="仿宋_GB2312"/>
          <w:color w:val="231F20"/>
          <w:sz w:val="28"/>
          <w:szCs w:val="28"/>
        </w:rPr>
        <w:t>表；</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IC</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pacing w:val="16"/>
          <w:sz w:val="28"/>
          <w:szCs w:val="28"/>
        </w:rPr>
        <w:t>卡计量</w:t>
      </w:r>
      <w:r>
        <w:rPr>
          <w:rFonts w:hint="eastAsia" w:ascii="仿宋_GB2312" w:hAnsi="仿宋_GB2312" w:eastAsia="仿宋_GB2312" w:cs="仿宋_GB2312"/>
          <w:color w:val="231F20"/>
          <w:sz w:val="28"/>
          <w:szCs w:val="28"/>
        </w:rPr>
        <w:t>表</w:t>
      </w:r>
      <w:r>
        <w:rPr>
          <w:rFonts w:hint="eastAsia" w:ascii="仿宋_GB2312" w:hAnsi="仿宋_GB2312" w:eastAsia="仿宋_GB2312" w:cs="仿宋_GB2312"/>
          <w:color w:val="231F20"/>
          <w:spacing w:val="-37"/>
          <w:sz w:val="28"/>
          <w:szCs w:val="28"/>
        </w:rPr>
        <w:t>；</w:t>
      </w:r>
      <w:r>
        <w:rPr>
          <w:rFonts w:hint="eastAsia" w:ascii="仿宋_GB2312" w:hAnsi="仿宋_GB2312" w:eastAsia="仿宋_GB2312" w:cs="仿宋_GB2312"/>
          <w:color w:val="231F20"/>
          <w:spacing w:val="16"/>
          <w:sz w:val="28"/>
          <w:szCs w:val="28"/>
        </w:rPr>
        <w:t>或</w:t>
      </w:r>
      <w:r>
        <w:rPr>
          <w:rFonts w:hint="eastAsia" w:ascii="仿宋_GB2312" w:hAnsi="仿宋_GB2312" w:eastAsia="仿宋_GB2312" w:cs="仿宋_GB2312"/>
          <w:color w:val="231F20"/>
          <w:sz w:val="28"/>
          <w:szCs w:val="28"/>
        </w:rPr>
        <w:t>者</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。安装时应当登记注册。供、用水双方按照注册登记的计量水表计量的水量作为水费结算的依据。</w:t>
      </w:r>
    </w:p>
    <w:p w14:paraId="5D4584F0">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结算用计量器须经当地技术监督部门检定、认定。</w:t>
      </w:r>
    </w:p>
    <w:p w14:paraId="42BC63F8">
      <w:pPr>
        <w:pStyle w:val="2"/>
        <w:spacing w:before="0" w:line="520" w:lineRule="exact"/>
        <w:ind w:left="0" w:right="0" w:firstLine="568"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2</w:t>
      </w:r>
      <w:r>
        <w:rPr>
          <w:rFonts w:hint="eastAsia" w:ascii="仿宋_GB2312" w:hAnsi="仿宋_GB2312" w:eastAsia="仿宋_GB2312" w:cs="仿宋_GB2312"/>
          <w:color w:val="231F20"/>
          <w:spacing w:val="0"/>
          <w:sz w:val="28"/>
          <w:szCs w:val="28"/>
        </w:rPr>
        <w:t>．用水人用水按照用水性质实行分类计量。不同用水性质的</w:t>
      </w:r>
      <w:r>
        <w:rPr>
          <w:rFonts w:hint="eastAsia" w:ascii="仿宋_GB2312" w:hAnsi="仿宋_GB2312" w:eastAsia="仿宋_GB2312" w:cs="仿宋_GB2312"/>
          <w:color w:val="231F20"/>
          <w:spacing w:val="0"/>
          <w:sz w:val="28"/>
          <w:szCs w:val="28"/>
          <w:lang w:eastAsia="zh-CN"/>
        </w:rPr>
        <w:t>用户</w:t>
      </w:r>
      <w:r>
        <w:rPr>
          <w:rFonts w:hint="eastAsia" w:ascii="仿宋_GB2312" w:hAnsi="仿宋_GB2312" w:eastAsia="仿宋_GB2312" w:cs="仿宋_GB2312"/>
          <w:color w:val="231F20"/>
          <w:spacing w:val="0"/>
          <w:sz w:val="28"/>
          <w:szCs w:val="28"/>
        </w:rPr>
        <w:t>共用一具计费水表时， 供水人按照最高类别水价计收水费或者按照比例划分不同用水性质用水量分类计收水费。</w:t>
      </w:r>
    </w:p>
    <w:p w14:paraId="7D50A313">
      <w:pPr>
        <w:pStyle w:val="2"/>
        <w:tabs>
          <w:tab w:val="left" w:pos="8726"/>
        </w:tabs>
        <w:spacing w:before="0" w:line="520" w:lineRule="exact"/>
        <w:ind w:left="0" w:firstLine="60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0"/>
          <w:sz w:val="28"/>
          <w:szCs w:val="28"/>
        </w:rPr>
        <w:t>（二）供水价</w:t>
      </w:r>
      <w:r>
        <w:rPr>
          <w:rFonts w:hint="eastAsia" w:ascii="仿宋_GB2312" w:hAnsi="仿宋_GB2312" w:eastAsia="仿宋_GB2312" w:cs="仿宋_GB2312"/>
          <w:color w:val="231F20"/>
          <w:sz w:val="28"/>
          <w:szCs w:val="28"/>
        </w:rPr>
        <w:t>格</w:t>
      </w:r>
      <w:r>
        <w:rPr>
          <w:rFonts w:hint="eastAsia" w:ascii="仿宋_GB2312" w:hAnsi="仿宋_GB2312" w:eastAsia="仿宋_GB2312" w:cs="仿宋_GB2312"/>
          <w:color w:val="231F20"/>
          <w:spacing w:val="-45"/>
          <w:sz w:val="28"/>
          <w:szCs w:val="28"/>
        </w:rPr>
        <w:t>：</w:t>
      </w:r>
      <w:r>
        <w:rPr>
          <w:rFonts w:hint="eastAsia" w:ascii="仿宋_GB2312" w:hAnsi="仿宋_GB2312" w:eastAsia="仿宋_GB2312" w:cs="仿宋_GB2312"/>
          <w:color w:val="231F20"/>
          <w:spacing w:val="10"/>
          <w:sz w:val="28"/>
          <w:szCs w:val="28"/>
        </w:rPr>
        <w:t>供水人依据用水人用水性</w:t>
      </w:r>
      <w:r>
        <w:rPr>
          <w:rFonts w:hint="eastAsia" w:ascii="仿宋_GB2312" w:hAnsi="仿宋_GB2312" w:eastAsia="仿宋_GB2312" w:cs="仿宋_GB2312"/>
          <w:color w:val="231F20"/>
          <w:sz w:val="28"/>
          <w:szCs w:val="28"/>
        </w:rPr>
        <w:t>质</w:t>
      </w:r>
      <w:r>
        <w:rPr>
          <w:rFonts w:hint="eastAsia" w:ascii="仿宋_GB2312" w:hAnsi="仿宋_GB2312" w:eastAsia="仿宋_GB2312" w:cs="仿宋_GB2312"/>
          <w:color w:val="231F20"/>
          <w:spacing w:val="10"/>
          <w:sz w:val="28"/>
          <w:szCs w:val="28"/>
        </w:rPr>
        <w:t>，按</w:t>
      </w:r>
      <w:r>
        <w:rPr>
          <w:rFonts w:hint="eastAsia" w:ascii="仿宋_GB2312" w:hAnsi="仿宋_GB2312" w:eastAsia="仿宋_GB2312" w:cs="仿宋_GB2312"/>
          <w:color w:val="231F20"/>
          <w:sz w:val="28"/>
          <w:szCs w:val="28"/>
        </w:rPr>
        <w:t>照</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10"/>
          <w:sz w:val="28"/>
          <w:szCs w:val="28"/>
        </w:rPr>
        <w:t>政</w:t>
      </w:r>
      <w:r>
        <w:rPr>
          <w:rFonts w:hint="eastAsia" w:ascii="仿宋_GB2312" w:hAnsi="仿宋_GB2312" w:eastAsia="仿宋_GB2312" w:cs="仿宋_GB2312"/>
          <w:color w:val="231F20"/>
          <w:sz w:val="28"/>
          <w:szCs w:val="28"/>
        </w:rPr>
        <w:t>府</w:t>
      </w:r>
    </w:p>
    <w:p w14:paraId="3D34E644">
      <w:pPr>
        <w:pStyle w:val="2"/>
        <w:tabs>
          <w:tab w:val="left" w:pos="154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部门）批准的供水分类价格收取水费。</w:t>
      </w:r>
    </w:p>
    <w:p w14:paraId="517429E3">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在合同有效期内，遇水价调整时，按照调价文件规定执行。</w:t>
      </w:r>
    </w:p>
    <w:p w14:paraId="68E9244C">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（三）水费结算方式</w:t>
      </w:r>
    </w:p>
    <w:p w14:paraId="3FDF6301">
      <w:pPr>
        <w:pStyle w:val="7"/>
        <w:numPr>
          <w:ilvl w:val="0"/>
          <w:numId w:val="1"/>
        </w:numPr>
        <w:tabs>
          <w:tab w:val="left" w:pos="776"/>
          <w:tab w:val="left" w:pos="6495"/>
          <w:tab w:val="left" w:pos="7595"/>
        </w:tabs>
        <w:spacing w:before="0" w:after="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供水人按照规定周期抄验表并结算水费，用水人在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日前交清水费。</w:t>
      </w:r>
    </w:p>
    <w:p w14:paraId="2280E4A0">
      <w:pPr>
        <w:pStyle w:val="7"/>
        <w:numPr>
          <w:ilvl w:val="0"/>
          <w:numId w:val="1"/>
        </w:numPr>
        <w:tabs>
          <w:tab w:val="left" w:pos="776"/>
          <w:tab w:val="left" w:pos="3029"/>
        </w:tabs>
        <w:spacing w:before="0" w:after="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水费结算采</w:t>
      </w:r>
      <w:r>
        <w:rPr>
          <w:rFonts w:hint="eastAsia" w:ascii="仿宋_GB2312" w:hAnsi="仿宋_GB2312" w:eastAsia="仿宋_GB2312" w:cs="仿宋_GB2312"/>
          <w:color w:val="231F20"/>
          <w:spacing w:val="52"/>
          <w:sz w:val="28"/>
          <w:szCs w:val="28"/>
        </w:rPr>
        <w:t>取</w:t>
      </w:r>
      <w:r>
        <w:rPr>
          <w:rFonts w:hint="eastAsia" w:ascii="仿宋_GB2312" w:hAnsi="仿宋_GB2312" w:eastAsia="仿宋_GB2312" w:cs="仿宋_GB2312"/>
          <w:color w:val="231F20"/>
          <w:spacing w:val="52"/>
          <w:sz w:val="28"/>
          <w:szCs w:val="28"/>
          <w:u w:val="single" w:color="231F20"/>
        </w:rPr>
        <w:t xml:space="preserve"> </w:t>
      </w:r>
      <w:r>
        <w:rPr>
          <w:rFonts w:hint="eastAsia" w:ascii="仿宋_GB2312" w:hAnsi="仿宋_GB2312" w:eastAsia="仿宋_GB2312" w:cs="仿宋_GB2312"/>
          <w:color w:val="231F20"/>
          <w:spacing w:val="52"/>
          <w:sz w:val="28"/>
          <w:szCs w:val="28"/>
          <w:u w:val="single" w:color="231F20"/>
        </w:rPr>
        <w:tab/>
      </w:r>
      <w:r>
        <w:rPr>
          <w:rFonts w:hint="eastAsia" w:ascii="仿宋_GB2312" w:hAnsi="仿宋_GB2312" w:eastAsia="仿宋_GB2312" w:cs="仿宋_GB2312"/>
          <w:color w:val="231F20"/>
          <w:sz w:val="28"/>
          <w:szCs w:val="28"/>
        </w:rPr>
        <w:t>方式。</w:t>
      </w:r>
    </w:p>
    <w:p w14:paraId="650434F1">
      <w:pPr>
        <w:pStyle w:val="2"/>
        <w:tabs>
          <w:tab w:val="left" w:pos="143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第四条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供、用水设施产权分界与维护管理</w:t>
      </w:r>
    </w:p>
    <w:p w14:paraId="2B3B2465">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（一）供、用水设施产权分界点是：供水人设计安装的计费总水表处。以户表计费的为进入建筑物前阀门处。</w:t>
      </w:r>
    </w:p>
    <w:p w14:paraId="4F3CF6DF">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（二）产权分界点（含计费水表）水源侧的管道和附属设施由供水人负责维护管理。产权分界点另侧的管道及设施由用水人负责维护管理，或者有偿委托供水人维护管理。</w:t>
      </w:r>
    </w:p>
    <w:p w14:paraId="7CB09103">
      <w:pPr>
        <w:pStyle w:val="2"/>
        <w:tabs>
          <w:tab w:val="left" w:pos="143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第五条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供水人的权利和义务</w:t>
      </w:r>
    </w:p>
    <w:p w14:paraId="163B2827">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（一）监督用水人按照合同约定的用水量、用水性质、用水四至范围用水。</w:t>
      </w:r>
    </w:p>
    <w:p w14:paraId="01102ED2">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（二）用水人逾期不缴纳水费，供水人有权从逾期之日起向用水人收取水费滞纳金。</w:t>
      </w:r>
    </w:p>
    <w:p w14:paraId="76A38F5A">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（三）用水人搬迁或者其他原因不再使用计费水表和供水设施，又没有办理过户手续的， 供水人有权拆除其计费水表和供水设施。</w:t>
      </w:r>
    </w:p>
    <w:p w14:paraId="113E7A5E">
      <w:pPr>
        <w:pStyle w:val="2"/>
        <w:tabs>
          <w:tab w:val="left" w:pos="1445"/>
        </w:tabs>
        <w:spacing w:before="0" w:line="520" w:lineRule="exact"/>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（四）因用水人表井占</w:t>
      </w:r>
      <w:r>
        <w:rPr>
          <w:rFonts w:hint="eastAsia" w:ascii="仿宋_GB2312" w:hAnsi="仿宋_GB2312" w:eastAsia="仿宋_GB2312" w:cs="仿宋_GB2312"/>
          <w:color w:val="231F20"/>
          <w:sz w:val="28"/>
          <w:szCs w:val="28"/>
        </w:rPr>
        <w:t>压</w:t>
      </w:r>
      <w:r>
        <w:rPr>
          <w:rFonts w:hint="eastAsia" w:ascii="仿宋_GB2312" w:hAnsi="仿宋_GB2312" w:eastAsia="仿宋_GB2312" w:cs="仿宋_GB2312"/>
          <w:color w:val="231F20"/>
          <w:spacing w:val="2"/>
          <w:sz w:val="28"/>
          <w:szCs w:val="28"/>
        </w:rPr>
        <w:t>、损坏及用水人责任等原因不能抄验水表</w:t>
      </w:r>
      <w:r>
        <w:rPr>
          <w:rFonts w:hint="eastAsia" w:ascii="仿宋_GB2312" w:hAnsi="仿宋_GB2312" w:eastAsia="仿宋_GB2312" w:cs="仿宋_GB2312"/>
          <w:color w:val="231F20"/>
          <w:sz w:val="28"/>
          <w:szCs w:val="28"/>
        </w:rPr>
        <w:t>时</w:t>
      </w:r>
      <w:r>
        <w:rPr>
          <w:rFonts w:hint="eastAsia" w:ascii="仿宋_GB2312" w:hAnsi="仿宋_GB2312" w:eastAsia="仿宋_GB2312" w:cs="仿宋_GB2312"/>
          <w:color w:val="231F20"/>
          <w:spacing w:val="2"/>
          <w:sz w:val="28"/>
          <w:szCs w:val="28"/>
        </w:rPr>
        <w:t>，供水人可根据用水</w:t>
      </w:r>
      <w:r>
        <w:rPr>
          <w:rFonts w:hint="eastAsia" w:ascii="仿宋_GB2312" w:hAnsi="仿宋_GB2312" w:eastAsia="仿宋_GB2312" w:cs="仿宋_GB2312"/>
          <w:color w:val="231F20"/>
          <w:spacing w:val="5"/>
          <w:sz w:val="28"/>
          <w:szCs w:val="28"/>
        </w:rPr>
        <w:t>人</w:t>
      </w:r>
      <w:r>
        <w:rPr>
          <w:rFonts w:hint="eastAsia" w:ascii="仿宋_GB2312" w:hAnsi="仿宋_GB2312" w:eastAsia="仿宋_GB2312" w:cs="仿宋_GB2312"/>
          <w:color w:val="231F20"/>
          <w:sz w:val="28"/>
          <w:szCs w:val="28"/>
        </w:rPr>
        <w:t>上</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5"/>
          <w:sz w:val="28"/>
          <w:szCs w:val="28"/>
        </w:rPr>
        <w:t>个月最高月用水量估算本期水量水</w:t>
      </w:r>
      <w:r>
        <w:rPr>
          <w:rFonts w:hint="eastAsia" w:ascii="仿宋_GB2312" w:hAnsi="仿宋_GB2312" w:eastAsia="仿宋_GB2312" w:cs="仿宋_GB2312"/>
          <w:color w:val="231F20"/>
          <w:sz w:val="28"/>
          <w:szCs w:val="28"/>
        </w:rPr>
        <w:t>费</w:t>
      </w:r>
      <w:r>
        <w:rPr>
          <w:rFonts w:hint="eastAsia" w:ascii="仿宋_GB2312" w:hAnsi="仿宋_GB2312" w:eastAsia="仿宋_GB2312" w:cs="仿宋_GB2312"/>
          <w:color w:val="231F20"/>
          <w:spacing w:val="5"/>
          <w:sz w:val="28"/>
          <w:szCs w:val="28"/>
        </w:rPr>
        <w:t xml:space="preserve">。如用水人三个月不能解决妨碍抄验表问 </w:t>
      </w:r>
      <w:r>
        <w:rPr>
          <w:rFonts w:hint="eastAsia" w:ascii="仿宋_GB2312" w:hAnsi="仿宋_GB2312" w:eastAsia="仿宋_GB2312" w:cs="仿宋_GB2312"/>
          <w:color w:val="231F20"/>
          <w:sz w:val="28"/>
          <w:szCs w:val="28"/>
        </w:rPr>
        <w:t>题，供水人不退还多估水费。</w:t>
      </w:r>
    </w:p>
    <w:p w14:paraId="1B5214C5">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（五）供水人应当按照合同约定的水质不间断供水。除高峰季节因供水能力不足，经城市供水行政主管部门同意被迫降压外，供水人应当按照合同规定的压力供水。对有计划的检修， 维修及新管并网作业施工造成的停水，应当提前 24 小时通知用水人。</w:t>
      </w:r>
    </w:p>
    <w:p w14:paraId="7AA2799B">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（六）供水人设立专门服务电话实行 24 小时昼夜受理用水人的报修。遇有供水管道及附属设施损坏的，供水人应当及时进入现场抢修。</w:t>
      </w:r>
    </w:p>
    <w:p w14:paraId="36B90F74">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（七）如供水人需要变更抄验水表和收费周期时，应当提前一个月通知用水人。</w:t>
      </w:r>
    </w:p>
    <w:p w14:paraId="1B392FD8">
      <w:pPr>
        <w:pStyle w:val="2"/>
        <w:tabs>
          <w:tab w:val="left" w:pos="6751"/>
        </w:tabs>
        <w:spacing w:before="0" w:line="520" w:lineRule="exact"/>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（八）对用水人提出的水表计量不</w:t>
      </w:r>
      <w:r>
        <w:rPr>
          <w:rFonts w:hint="eastAsia" w:ascii="仿宋_GB2312" w:hAnsi="仿宋_GB2312" w:eastAsia="仿宋_GB2312" w:cs="仿宋_GB2312"/>
          <w:color w:val="231F20"/>
          <w:sz w:val="28"/>
          <w:szCs w:val="28"/>
        </w:rPr>
        <w:t>准</w:t>
      </w:r>
      <w:r>
        <w:rPr>
          <w:rFonts w:hint="eastAsia" w:ascii="仿宋_GB2312" w:hAnsi="仿宋_GB2312" w:eastAsia="仿宋_GB2312" w:cs="仿宋_GB2312"/>
          <w:color w:val="231F20"/>
          <w:spacing w:val="2"/>
          <w:sz w:val="28"/>
          <w:szCs w:val="28"/>
        </w:rPr>
        <w:t>，供水人负责复核和校</w:t>
      </w:r>
      <w:r>
        <w:rPr>
          <w:rFonts w:hint="eastAsia" w:ascii="仿宋_GB2312" w:hAnsi="仿宋_GB2312" w:eastAsia="仿宋_GB2312" w:cs="仿宋_GB2312"/>
          <w:color w:val="231F20"/>
          <w:sz w:val="28"/>
          <w:szCs w:val="28"/>
        </w:rPr>
        <w:t>验</w:t>
      </w:r>
      <w:r>
        <w:rPr>
          <w:rFonts w:hint="eastAsia" w:ascii="仿宋_GB2312" w:hAnsi="仿宋_GB2312" w:eastAsia="仿宋_GB2312" w:cs="仿宋_GB2312"/>
          <w:color w:val="231F20"/>
          <w:spacing w:val="2"/>
          <w:sz w:val="28"/>
          <w:szCs w:val="28"/>
        </w:rPr>
        <w:t>。对水表因自然损坏造成的</w:t>
      </w:r>
      <w:r>
        <w:rPr>
          <w:rFonts w:hint="eastAsia" w:ascii="仿宋_GB2312" w:hAnsi="仿宋_GB2312" w:eastAsia="仿宋_GB2312" w:cs="仿宋_GB2312"/>
          <w:color w:val="231F20"/>
          <w:sz w:val="28"/>
          <w:szCs w:val="28"/>
        </w:rPr>
        <w:t>表停，表坏，供水人应当无偿更换，供水人可根据用水人上</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个月平均用水量估算本期 水量水费。由于供水人抄错表，计费水表计量不准等原因多收的水费，应当予以退还。</w:t>
      </w:r>
    </w:p>
    <w:p w14:paraId="38BF48A2">
      <w:pPr>
        <w:pStyle w:val="2"/>
        <w:tabs>
          <w:tab w:val="left" w:pos="143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第六条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用水人的权利和义务</w:t>
      </w:r>
    </w:p>
    <w:p w14:paraId="3F52FC5C">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（一）监督供水人按照合同约定的水压，水质向用水人供水。</w:t>
      </w:r>
    </w:p>
    <w:p w14:paraId="2D77BD95">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（二）有权要求供水人按照国家的规定对计费水表进行周期检定。</w:t>
      </w:r>
    </w:p>
    <w:p w14:paraId="123F30F1">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（三）有权向供水人提出进行计费水表复核和校验。</w:t>
      </w:r>
    </w:p>
    <w:p w14:paraId="263D2331">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（四）有权对供水人收缴的水费及确定的水价申请复核。</w:t>
      </w:r>
    </w:p>
    <w:p w14:paraId="1E64AD48">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（五）应当按照合同约定按期向供水人交水费。</w:t>
      </w:r>
    </w:p>
    <w:p w14:paraId="6D62CE6F">
      <w:pPr>
        <w:pStyle w:val="2"/>
        <w:spacing w:before="0" w:line="52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（六）保证计费水表，表井（箱）及附属设施完好，配合供水人抄验表或者协助做好水表等设施的更换，维修工作。</w:t>
      </w:r>
    </w:p>
    <w:p w14:paraId="5E155EA6">
      <w:pPr>
        <w:pStyle w:val="2"/>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（七）除发生火灾等特殊原因，用水人不得擅自开封启动无表防险（用水人消火栓</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。需要</w:t>
      </w:r>
      <w:r>
        <w:rPr>
          <w:rFonts w:hint="eastAsia" w:ascii="仿宋_GB2312" w:hAnsi="仿宋_GB2312" w:eastAsia="仿宋_GB2312" w:cs="仿宋_GB2312"/>
          <w:color w:val="231F20"/>
          <w:sz w:val="28"/>
          <w:szCs w:val="28"/>
          <w:lang w:eastAsia="zh-CN"/>
        </w:rPr>
        <w:t>使用</w:t>
      </w:r>
      <w:r>
        <w:rPr>
          <w:rFonts w:hint="eastAsia" w:ascii="仿宋_GB2312" w:hAnsi="仿宋_GB2312" w:eastAsia="仿宋_GB2312" w:cs="仿宋_GB2312"/>
          <w:color w:val="231F20"/>
          <w:sz w:val="28"/>
          <w:szCs w:val="28"/>
        </w:rPr>
        <w:t>内部消防设施的，应当通知供水人派人启封。发生火灾时，用水人可以自行启动使用，灭火后应当及时通知供水人重新铅封。</w:t>
      </w:r>
    </w:p>
    <w:p w14:paraId="1872424A">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（八）不得私自向其他用水人转供水；不得擅自向合同约定的四至外供水</w:t>
      </w:r>
    </w:p>
    <w:p w14:paraId="3A7A39AC">
      <w:pPr>
        <w:pStyle w:val="2"/>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九）由于用水人用水量增加，连续半年超过水表公称流量时，应当办理换表手续；由于用水人全月平均小时用水量低于水表最小流量时，供水人可将水表口径改小，用水人承担工料费；当用水人月用水量达不到底度流量时，按照底度流量收费。</w:t>
      </w:r>
    </w:p>
    <w:p w14:paraId="368EA1F8">
      <w:pPr>
        <w:pStyle w:val="2"/>
        <w:tabs>
          <w:tab w:val="left" w:pos="143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第七条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违约责任</w:t>
      </w:r>
    </w:p>
    <w:p w14:paraId="4597E9E2">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（一）供水人的违约责任</w:t>
      </w:r>
    </w:p>
    <w:p w14:paraId="31101975">
      <w:pPr>
        <w:pStyle w:val="7"/>
        <w:numPr>
          <w:ilvl w:val="0"/>
          <w:numId w:val="2"/>
        </w:numPr>
        <w:tabs>
          <w:tab w:val="left" w:pos="776"/>
          <w:tab w:val="left" w:pos="1217"/>
        </w:tabs>
        <w:spacing w:before="0" w:after="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供水人违反合同约定未向用水人供水的，应当支付用水人停水期间正常用水量水费百分之</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的违约金。</w:t>
      </w:r>
    </w:p>
    <w:p w14:paraId="1A198CC9">
      <w:pPr>
        <w:pStyle w:val="7"/>
        <w:numPr>
          <w:ilvl w:val="0"/>
          <w:numId w:val="2"/>
        </w:numPr>
        <w:tabs>
          <w:tab w:val="left" w:pos="777"/>
        </w:tabs>
        <w:spacing w:before="0" w:after="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由于供水人责任事故造成的停水、水压降低、水质量事故，给用水人造成损失的，供水人应当承担赔偿责任。</w:t>
      </w:r>
    </w:p>
    <w:p w14:paraId="2988C1A4">
      <w:pPr>
        <w:pStyle w:val="7"/>
        <w:numPr>
          <w:ilvl w:val="0"/>
          <w:numId w:val="2"/>
        </w:numPr>
        <w:tabs>
          <w:tab w:val="left" w:pos="776"/>
        </w:tabs>
        <w:spacing w:before="0" w:after="0" w:line="520" w:lineRule="exact"/>
        <w:ind w:left="0" w:right="0" w:firstLine="50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4"/>
          <w:sz w:val="28"/>
          <w:szCs w:val="28"/>
        </w:rPr>
        <w:t>由于不可抗力的原因或者政府行为造成停水、使用水人受到损失的，供水人不承担赔偿责任。</w:t>
      </w:r>
    </w:p>
    <w:p w14:paraId="15CAA408">
      <w:pPr>
        <w:pStyle w:val="2"/>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（二）用水人的违约责任</w:t>
      </w:r>
    </w:p>
    <w:p w14:paraId="73586D26">
      <w:pPr>
        <w:pStyle w:val="7"/>
        <w:numPr>
          <w:ilvl w:val="0"/>
          <w:numId w:val="0"/>
        </w:numPr>
        <w:tabs>
          <w:tab w:val="left" w:pos="776"/>
        </w:tabs>
        <w:spacing w:before="0" w:after="0" w:line="520" w:lineRule="exact"/>
        <w:ind w:left="0" w:right="0" w:firstLine="440" w:firstLineChars="200"/>
        <w:jc w:val="both"/>
        <w:rPr>
          <w:rFonts w:hint="eastAsia" w:ascii="仿宋_GB2312" w:hAnsi="仿宋_GB2312" w:eastAsia="仿宋_GB2312" w:cs="仿宋_GB2312"/>
          <w:sz w:val="28"/>
          <w:szCs w:val="28"/>
        </w:rPr>
      </w:pPr>
      <w:r>
        <w:rPr>
          <w:rFonts w:hint="default" w:ascii="方正书宋_GBK" w:hAnsi="方正书宋_GBK" w:eastAsia="方正书宋_GBK" w:cs="方正书宋_GBK"/>
          <w:color w:val="231F20"/>
          <w:w w:val="100"/>
          <w:sz w:val="22"/>
          <w:szCs w:val="22"/>
          <w:lang w:val="en-US" w:eastAsia="en-US" w:bidi="ar-SA"/>
        </w:rPr>
        <w:t>1.</w:t>
      </w:r>
      <w:r>
        <w:rPr>
          <w:rFonts w:hint="eastAsia" w:ascii="仿宋_GB2312" w:hAnsi="仿宋_GB2312" w:eastAsia="仿宋_GB2312" w:cs="仿宋_GB2312"/>
          <w:color w:val="231F20"/>
          <w:sz w:val="28"/>
          <w:szCs w:val="28"/>
        </w:rPr>
        <w:t>用水人未按期交水费的，还应当支付纳金。超过规定交费日期一个月的，供水人按照国家规定一切有权中止供水。当用水人于半年之内交齐水费和纳金后，供水应当于</w:t>
      </w:r>
      <w:r>
        <w:rPr>
          <w:rFonts w:hint="eastAsia" w:ascii="仿宋_GB2312" w:hAnsi="仿宋_GB2312" w:eastAsia="仿宋_GB2312" w:cs="仿宋_GB2312"/>
          <w:color w:val="231F20"/>
          <w:sz w:val="28"/>
          <w:szCs w:val="28"/>
          <w:lang w:eastAsia="zh-CN"/>
        </w:rPr>
        <w:t>48</w:t>
      </w:r>
      <w:r>
        <w:rPr>
          <w:rFonts w:hint="eastAsia" w:ascii="仿宋_GB2312" w:hAnsi="仿宋_GB2312" w:eastAsia="仿宋_GB2312" w:cs="仿宋_GB2312"/>
          <w:color w:val="231F20"/>
          <w:sz w:val="28"/>
          <w:szCs w:val="28"/>
        </w:rPr>
        <w:t>小时恢复供水。中止供水过半年，用水人要求复装的，应当交齐欠费和供水设施复装工料费后，另行办理新装手续。</w:t>
      </w:r>
    </w:p>
    <w:p w14:paraId="5AC6D0C7">
      <w:pPr>
        <w:pStyle w:val="7"/>
        <w:numPr>
          <w:ilvl w:val="0"/>
          <w:numId w:val="0"/>
        </w:numPr>
        <w:tabs>
          <w:tab w:val="left" w:pos="767"/>
          <w:tab w:val="left" w:pos="7878"/>
        </w:tabs>
        <w:spacing w:before="0" w:after="0" w:line="520" w:lineRule="exact"/>
        <w:ind w:left="0" w:right="0" w:firstLine="440" w:firstLineChars="200"/>
        <w:jc w:val="left"/>
        <w:rPr>
          <w:rFonts w:hint="eastAsia" w:ascii="仿宋_GB2312" w:hAnsi="仿宋_GB2312" w:eastAsia="仿宋_GB2312" w:cs="仿宋_GB2312"/>
          <w:sz w:val="28"/>
          <w:szCs w:val="28"/>
        </w:rPr>
      </w:pPr>
      <w:r>
        <w:rPr>
          <w:rFonts w:hint="default" w:ascii="方正书宋_GBK" w:hAnsi="方正书宋_GBK" w:eastAsia="方正书宋_GBK" w:cs="方正书宋_GBK"/>
          <w:color w:val="231F20"/>
          <w:w w:val="100"/>
          <w:sz w:val="22"/>
          <w:szCs w:val="22"/>
          <w:lang w:val="en-US" w:eastAsia="en-US" w:bidi="ar-SA"/>
        </w:rPr>
        <w:t>2.</w:t>
      </w:r>
      <w:r>
        <w:rPr>
          <w:rFonts w:hint="eastAsia" w:ascii="仿宋_GB2312" w:hAnsi="仿宋_GB2312" w:eastAsia="仿宋_GB2312" w:cs="仿宋_GB2312"/>
          <w:color w:val="231F20"/>
          <w:sz w:val="28"/>
          <w:szCs w:val="28"/>
        </w:rPr>
        <w:t>用水</w:t>
      </w:r>
      <w:r>
        <w:rPr>
          <w:rFonts w:hint="eastAsia" w:ascii="仿宋_GB2312" w:hAnsi="仿宋_GB2312" w:eastAsia="仿宋_GB2312" w:cs="仿宋_GB2312"/>
          <w:color w:val="231F20"/>
          <w:spacing w:val="-5"/>
          <w:sz w:val="28"/>
          <w:szCs w:val="28"/>
        </w:rPr>
        <w:t>人私自改变用水性质、向</w:t>
      </w:r>
      <w:r>
        <w:rPr>
          <w:rFonts w:hint="eastAsia" w:ascii="仿宋_GB2312" w:hAnsi="仿宋_GB2312" w:eastAsia="仿宋_GB2312" w:cs="仿宋_GB2312"/>
          <w:color w:val="231F20"/>
          <w:spacing w:val="-5"/>
          <w:sz w:val="28"/>
          <w:szCs w:val="28"/>
          <w:lang w:eastAsia="zh-CN"/>
        </w:rPr>
        <w:t>其他用水</w:t>
      </w:r>
      <w:r>
        <w:rPr>
          <w:rFonts w:hint="eastAsia" w:ascii="仿宋_GB2312" w:hAnsi="仿宋_GB2312" w:eastAsia="仿宋_GB2312" w:cs="仿宋_GB2312"/>
          <w:color w:val="231F20"/>
          <w:spacing w:val="-5"/>
          <w:sz w:val="28"/>
          <w:szCs w:val="28"/>
        </w:rPr>
        <w:t>人转供水，向合同的四至外供水，未到供水人处办理变更手续的，用水人除补交水价差价的水费外，还应多支付水费百分之</w:t>
      </w:r>
      <w:r>
        <w:rPr>
          <w:rFonts w:hint="eastAsia" w:ascii="仿宋_GB2312" w:hAnsi="仿宋_GB2312" w:eastAsia="仿宋_GB2312" w:cs="仿宋_GB2312"/>
          <w:color w:val="231F20"/>
          <w:spacing w:val="-5"/>
          <w:sz w:val="28"/>
          <w:szCs w:val="28"/>
          <w:u w:val="single" w:color="231F20"/>
        </w:rPr>
        <w:t xml:space="preserve"> </w:t>
      </w:r>
      <w:r>
        <w:rPr>
          <w:rFonts w:hint="eastAsia" w:ascii="仿宋_GB2312" w:hAnsi="仿宋_GB2312" w:eastAsia="仿宋_GB2312" w:cs="仿宋_GB2312"/>
          <w:color w:val="231F20"/>
          <w:spacing w:val="-5"/>
          <w:sz w:val="28"/>
          <w:szCs w:val="28"/>
          <w:u w:val="single" w:color="231F20"/>
        </w:rPr>
        <w:tab/>
      </w:r>
      <w:r>
        <w:rPr>
          <w:rFonts w:hint="eastAsia" w:ascii="仿宋_GB2312" w:hAnsi="仿宋_GB2312" w:eastAsia="仿宋_GB2312" w:cs="仿宋_GB2312"/>
          <w:color w:val="231F20"/>
          <w:spacing w:val="-5"/>
          <w:sz w:val="28"/>
          <w:szCs w:val="28"/>
        </w:rPr>
        <w:t>的违约金。</w:t>
      </w:r>
    </w:p>
    <w:p w14:paraId="3A3E323E">
      <w:pPr>
        <w:pStyle w:val="7"/>
        <w:numPr>
          <w:ilvl w:val="0"/>
          <w:numId w:val="0"/>
        </w:numPr>
        <w:tabs>
          <w:tab w:val="left" w:pos="776"/>
        </w:tabs>
        <w:spacing w:before="0" w:after="0" w:line="520" w:lineRule="exact"/>
        <w:ind w:left="0" w:right="0" w:firstLine="440" w:firstLineChars="200"/>
        <w:jc w:val="left"/>
        <w:rPr>
          <w:rFonts w:hint="eastAsia" w:ascii="仿宋_GB2312" w:hAnsi="仿宋_GB2312" w:eastAsia="仿宋_GB2312" w:cs="仿宋_GB2312"/>
          <w:sz w:val="28"/>
          <w:szCs w:val="28"/>
        </w:rPr>
      </w:pPr>
      <w:r>
        <w:rPr>
          <w:rFonts w:hint="default" w:ascii="方正书宋_GBK" w:hAnsi="方正书宋_GBK" w:eastAsia="方正书宋_GBK" w:cs="方正书宋_GBK"/>
          <w:color w:val="231F20"/>
          <w:w w:val="100"/>
          <w:sz w:val="22"/>
          <w:szCs w:val="22"/>
          <w:lang w:val="en-US" w:eastAsia="en-US" w:bidi="ar-SA"/>
        </w:rPr>
        <w:t>3.</w:t>
      </w:r>
      <w:r>
        <w:rPr>
          <w:rFonts w:hint="eastAsia" w:ascii="仿宋_GB2312" w:hAnsi="仿宋_GB2312" w:eastAsia="仿宋_GB2312" w:cs="仿宋_GB2312"/>
          <w:color w:val="231F20"/>
          <w:sz w:val="28"/>
          <w:szCs w:val="28"/>
        </w:rPr>
        <w:t>用水人终止用水，未到供水人处办理相关手续，给供水人造成损失的，由用水人承担赔偿责任。</w:t>
      </w:r>
    </w:p>
    <w:p w14:paraId="649FEC47">
      <w:pPr>
        <w:pStyle w:val="2"/>
        <w:tabs>
          <w:tab w:val="left" w:pos="143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第八条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合同有效期限</w:t>
      </w:r>
    </w:p>
    <w:p w14:paraId="3A9C4F00">
      <w:pPr>
        <w:pStyle w:val="2"/>
        <w:tabs>
          <w:tab w:val="left" w:pos="2537"/>
          <w:tab w:val="left" w:pos="4077"/>
          <w:tab w:val="left" w:pos="4737"/>
          <w:tab w:val="left" w:pos="5397"/>
          <w:tab w:val="left" w:pos="6937"/>
          <w:tab w:val="left" w:pos="7597"/>
          <w:tab w:val="left" w:pos="8257"/>
        </w:tabs>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合同期限为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日起至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日止。</w:t>
      </w:r>
    </w:p>
    <w:p w14:paraId="2DC95DDD">
      <w:pPr>
        <w:pStyle w:val="2"/>
        <w:tabs>
          <w:tab w:val="left" w:pos="1437"/>
        </w:tabs>
        <w:spacing w:before="18"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第九条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合同的变更</w:t>
      </w:r>
    </w:p>
    <w:p w14:paraId="5D64B2BB">
      <w:pPr>
        <w:pStyle w:val="2"/>
        <w:spacing w:before="102" w:line="52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当事人如需要修改合同条款或者合同未尽事宜，须经双方协商一致，</w:t>
      </w:r>
      <w:r>
        <w:rPr>
          <w:rFonts w:hint="eastAsia" w:ascii="仿宋_GB2312" w:hAnsi="仿宋_GB2312" w:eastAsia="仿宋_GB2312" w:cs="仿宋_GB2312"/>
          <w:color w:val="231F20"/>
          <w:sz w:val="28"/>
          <w:szCs w:val="28"/>
          <w:lang w:eastAsia="zh-CN"/>
        </w:rPr>
        <w:t>签订</w:t>
      </w:r>
      <w:r>
        <w:rPr>
          <w:rFonts w:hint="eastAsia" w:ascii="仿宋_GB2312" w:hAnsi="仿宋_GB2312" w:eastAsia="仿宋_GB2312" w:cs="仿宋_GB2312"/>
          <w:color w:val="231F20"/>
          <w:sz w:val="28"/>
          <w:szCs w:val="28"/>
        </w:rPr>
        <w:t>补充协定，补充协定与本合同具有同等效力。</w:t>
      </w:r>
    </w:p>
    <w:p w14:paraId="2DA9E690">
      <w:pPr>
        <w:pStyle w:val="2"/>
        <w:tabs>
          <w:tab w:val="left" w:pos="1437"/>
        </w:tabs>
        <w:spacing w:before="14"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第十条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争议的解决方式</w:t>
      </w:r>
    </w:p>
    <w:p w14:paraId="6F50DBE5">
      <w:pPr>
        <w:pStyle w:val="2"/>
        <w:autoSpaceDE/>
        <w:autoSpaceDN/>
        <w:spacing w:before="0" w:line="520" w:lineRule="exact"/>
        <w:ind w:left="0" w:firstLine="560" w:firstLineChars="20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color w:val="231F20"/>
          <w:sz w:val="28"/>
          <w:szCs w:val="28"/>
          <w:u w:val="single"/>
        </w:rPr>
        <w:t>因本合同引起的或与本合同有关的任何争议，</w:t>
      </w:r>
      <w:r>
        <w:rPr>
          <w:rFonts w:hint="eastAsia" w:ascii="仿宋_GB2312" w:hAnsi="仿宋_GB2312" w:eastAsia="仿宋_GB2312" w:cs="仿宋_GB2312"/>
          <w:b/>
          <w:bCs/>
          <w:color w:val="231F20"/>
          <w:sz w:val="28"/>
          <w:szCs w:val="28"/>
          <w:u w:val="single"/>
        </w:rPr>
        <w:t>均提请绵阳仲裁委员会按照该会仲裁规则进行仲裁。</w:t>
      </w:r>
      <w:r>
        <w:rPr>
          <w:rFonts w:hint="eastAsia" w:ascii="仿宋_GB2312" w:hAnsi="仿宋_GB2312" w:eastAsia="仿宋_GB2312" w:cs="仿宋_GB2312"/>
          <w:color w:val="231F20"/>
          <w:sz w:val="28"/>
          <w:szCs w:val="28"/>
          <w:u w:val="single"/>
        </w:rPr>
        <w:t>仲裁裁决是终局的，对双方均有约束力。</w:t>
      </w:r>
    </w:p>
    <w:p w14:paraId="4F7E90FA">
      <w:pPr>
        <w:pStyle w:val="2"/>
        <w:tabs>
          <w:tab w:val="left" w:pos="1657"/>
        </w:tabs>
        <w:spacing w:before="82"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第十一条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其他约定</w:t>
      </w:r>
    </w:p>
    <w:p w14:paraId="71E0B6F3">
      <w:pPr>
        <w:pStyle w:val="2"/>
        <w:autoSpaceDE/>
        <w:autoSpaceDN/>
        <w:spacing w:before="0" w:line="52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送达方式及送达地址条款</w:t>
      </w:r>
    </w:p>
    <w:p w14:paraId="26C33606">
      <w:pPr>
        <w:autoSpaceDE/>
        <w:autoSpaceDN/>
        <w:spacing w:before="0" w:after="0" w:line="560" w:lineRule="exact"/>
        <w:ind w:left="0" w:right="0" w:firstLine="560" w:firstLineChars="200"/>
        <w:jc w:val="both"/>
        <w:rPr>
          <w:rFonts w:hint="eastAsia" w:ascii="Calibri" w:hAnsi="Calibri" w:eastAsia="仿宋_GB2312" w:cs="Times New Roman"/>
          <w:kern w:val="2"/>
          <w:sz w:val="28"/>
          <w:szCs w:val="28"/>
          <w:lang w:eastAsia="zh-CN"/>
        </w:rPr>
      </w:pPr>
      <w:r>
        <w:rPr>
          <w:rFonts w:hint="eastAsia" w:ascii="Calibri" w:hAnsi="Calibri" w:eastAsia="仿宋_GB2312" w:cs="Times New Roman"/>
          <w:kern w:val="2"/>
          <w:sz w:val="28"/>
          <w:szCs w:val="28"/>
          <w:lang w:eastAsia="zh-CN"/>
        </w:rPr>
        <w:t>合同签订人所填写的地址信息，将作为通知、信件、律师函、法院文书、仲裁文书等一切书面文件的送达地址。若该地址送达的相关文件</w:t>
      </w:r>
      <w:r>
        <w:rPr>
          <w:rFonts w:hint="eastAsia" w:ascii="Calibri" w:hAnsi="Calibri" w:eastAsia="仿宋_GB2312" w:cs="Times New Roman"/>
          <w:kern w:val="2"/>
          <w:sz w:val="28"/>
          <w:szCs w:val="28"/>
          <w:lang w:val="en-US" w:eastAsia="zh-CN"/>
        </w:rPr>
        <w:t>未成功签收</w:t>
      </w:r>
      <w:r>
        <w:rPr>
          <w:rFonts w:hint="eastAsia" w:ascii="Calibri" w:hAnsi="Calibri" w:eastAsia="仿宋_GB2312" w:cs="Times New Roman"/>
          <w:kern w:val="2"/>
          <w:sz w:val="28"/>
          <w:szCs w:val="28"/>
          <w:lang w:eastAsia="zh-CN"/>
        </w:rPr>
        <w:t>，则文件退回之日视为送达之日。</w:t>
      </w:r>
    </w:p>
    <w:p w14:paraId="0B6F3DB9">
      <w:pPr>
        <w:autoSpaceDE/>
        <w:autoSpaceDN/>
        <w:spacing w:before="0" w:after="0" w:line="560" w:lineRule="exact"/>
        <w:ind w:left="0" w:right="0" w:firstLine="560" w:firstLineChars="200"/>
        <w:jc w:val="both"/>
        <w:rPr>
          <w:rFonts w:hint="eastAsia" w:ascii="Calibri" w:hAnsi="Calibri" w:eastAsia="仿宋_GB2312" w:cs="Times New Roman"/>
          <w:kern w:val="2"/>
          <w:sz w:val="28"/>
          <w:szCs w:val="28"/>
          <w:lang w:eastAsia="zh-CN"/>
        </w:rPr>
      </w:pPr>
      <w:r>
        <w:rPr>
          <w:rFonts w:hint="eastAsia" w:ascii="Calibri" w:hAnsi="Calibri" w:eastAsia="仿宋_GB2312" w:cs="Times New Roman"/>
          <w:kern w:val="2"/>
          <w:sz w:val="28"/>
          <w:szCs w:val="28"/>
          <w:lang w:eastAsia="zh-CN"/>
        </w:rPr>
        <w:t>双方确认的送达地址如下：</w:t>
      </w:r>
    </w:p>
    <w:p w14:paraId="591DAC92">
      <w:pPr>
        <w:autoSpaceDE/>
        <w:autoSpaceDN/>
        <w:spacing w:before="0" w:after="0" w:line="560" w:lineRule="exact"/>
        <w:ind w:left="0" w:right="0" w:firstLine="560" w:firstLineChars="200"/>
        <w:jc w:val="both"/>
        <w:rPr>
          <w:rFonts w:hint="eastAsia" w:ascii="Calibri" w:hAnsi="Calibri" w:eastAsia="仿宋_GB2312" w:cs="Times New Roman"/>
          <w:kern w:val="2"/>
          <w:sz w:val="28"/>
          <w:szCs w:val="28"/>
          <w:lang w:eastAsia="zh-CN"/>
        </w:rPr>
      </w:pPr>
      <w:r>
        <w:rPr>
          <w:rFonts w:hint="eastAsia" w:ascii="仿宋_GB2312" w:hAnsi="仿宋_GB2312" w:eastAsia="仿宋_GB2312" w:cs="仿宋_GB2312"/>
          <w:color w:val="231F20"/>
          <w:sz w:val="28"/>
          <w:szCs w:val="28"/>
        </w:rPr>
        <w:t>供水人</w:t>
      </w:r>
      <w:r>
        <w:rPr>
          <w:rFonts w:hint="eastAsia" w:ascii="Calibri" w:hAnsi="Calibri" w:eastAsia="仿宋_GB2312" w:cs="Times New Roman"/>
          <w:kern w:val="2"/>
          <w:sz w:val="28"/>
          <w:szCs w:val="28"/>
          <w:lang w:eastAsia="zh-CN"/>
        </w:rPr>
        <w:t>地址：</w:t>
      </w:r>
    </w:p>
    <w:p w14:paraId="5D3430E1">
      <w:pPr>
        <w:autoSpaceDE/>
        <w:autoSpaceDN/>
        <w:spacing w:before="0" w:after="0" w:line="560" w:lineRule="exact"/>
        <w:ind w:left="0" w:right="0" w:firstLine="560" w:firstLineChars="200"/>
        <w:jc w:val="both"/>
        <w:rPr>
          <w:rFonts w:hint="eastAsia" w:ascii="Calibri" w:hAnsi="Calibri" w:eastAsia="仿宋_GB2312" w:cs="Times New Roman"/>
          <w:kern w:val="2"/>
          <w:sz w:val="28"/>
          <w:szCs w:val="22"/>
          <w:lang w:eastAsia="zh-CN"/>
        </w:rPr>
      </w:pPr>
      <w:r>
        <w:rPr>
          <w:rFonts w:hint="eastAsia" w:ascii="Calibri" w:hAnsi="Calibri" w:eastAsia="仿宋_GB2312" w:cs="Times New Roman"/>
          <w:kern w:val="2"/>
          <w:sz w:val="28"/>
          <w:szCs w:val="22"/>
          <w:lang w:eastAsia="zh-CN"/>
        </w:rPr>
        <w:t>邮政编码：                   收件人：</w:t>
      </w:r>
    </w:p>
    <w:p w14:paraId="23F9C405">
      <w:pPr>
        <w:autoSpaceDE/>
        <w:autoSpaceDN/>
        <w:spacing w:before="0" w:after="0" w:line="560" w:lineRule="exact"/>
        <w:ind w:left="0" w:right="0" w:firstLine="560" w:firstLineChars="200"/>
        <w:jc w:val="both"/>
        <w:rPr>
          <w:rFonts w:hint="eastAsia" w:ascii="Calibri" w:hAnsi="Calibri" w:eastAsia="仿宋_GB2312" w:cs="Times New Roman"/>
          <w:kern w:val="2"/>
          <w:sz w:val="28"/>
          <w:szCs w:val="22"/>
          <w:lang w:eastAsia="zh-CN"/>
        </w:rPr>
      </w:pPr>
      <w:r>
        <w:rPr>
          <w:rFonts w:hint="eastAsia" w:ascii="Calibri" w:hAnsi="Calibri" w:eastAsia="仿宋_GB2312" w:cs="Times New Roman"/>
          <w:kern w:val="2"/>
          <w:sz w:val="28"/>
          <w:szCs w:val="22"/>
          <w:lang w:eastAsia="zh-CN"/>
        </w:rPr>
        <w:t>手机号码：                   电子邮箱：            微信号：</w:t>
      </w:r>
    </w:p>
    <w:p w14:paraId="7A6C0CF1">
      <w:pPr>
        <w:autoSpaceDE/>
        <w:autoSpaceDN/>
        <w:spacing w:before="0" w:after="0" w:line="560" w:lineRule="exact"/>
        <w:ind w:left="0" w:right="0" w:firstLine="560" w:firstLineChars="200"/>
        <w:jc w:val="both"/>
        <w:rPr>
          <w:rFonts w:hint="eastAsia" w:ascii="Calibri" w:hAnsi="Calibri" w:eastAsia="仿宋_GB2312" w:cs="Times New Roman"/>
          <w:kern w:val="2"/>
          <w:sz w:val="28"/>
          <w:szCs w:val="22"/>
          <w:lang w:eastAsia="zh-CN"/>
        </w:rPr>
      </w:pPr>
      <w:r>
        <w:rPr>
          <w:rFonts w:hint="eastAsia" w:ascii="仿宋_GB2312" w:hAnsi="仿宋_GB2312" w:eastAsia="仿宋_GB2312" w:cs="仿宋_GB2312"/>
          <w:color w:val="231F20"/>
          <w:sz w:val="28"/>
          <w:szCs w:val="28"/>
        </w:rPr>
        <w:t>用水人</w:t>
      </w:r>
      <w:r>
        <w:rPr>
          <w:rFonts w:hint="eastAsia" w:ascii="Calibri" w:hAnsi="Calibri" w:eastAsia="仿宋_GB2312" w:cs="Times New Roman"/>
          <w:kern w:val="2"/>
          <w:sz w:val="28"/>
          <w:szCs w:val="22"/>
          <w:lang w:eastAsia="zh-CN"/>
        </w:rPr>
        <w:t>地址：</w:t>
      </w:r>
    </w:p>
    <w:p w14:paraId="20B5CD93">
      <w:pPr>
        <w:autoSpaceDE/>
        <w:autoSpaceDN/>
        <w:spacing w:before="0" w:after="0" w:line="560" w:lineRule="exact"/>
        <w:ind w:left="0" w:right="0" w:firstLine="560" w:firstLineChars="200"/>
        <w:jc w:val="both"/>
        <w:rPr>
          <w:rFonts w:hint="eastAsia" w:ascii="Calibri" w:hAnsi="Calibri" w:eastAsia="仿宋_GB2312" w:cs="Times New Roman"/>
          <w:kern w:val="2"/>
          <w:sz w:val="28"/>
          <w:szCs w:val="22"/>
          <w:lang w:eastAsia="zh-CN"/>
        </w:rPr>
      </w:pPr>
      <w:r>
        <w:rPr>
          <w:rFonts w:hint="eastAsia" w:ascii="Calibri" w:hAnsi="Calibri" w:eastAsia="仿宋_GB2312" w:cs="Times New Roman"/>
          <w:kern w:val="2"/>
          <w:sz w:val="28"/>
          <w:szCs w:val="22"/>
          <w:lang w:eastAsia="zh-CN"/>
        </w:rPr>
        <w:t>邮政编码：                   收件人：</w:t>
      </w:r>
    </w:p>
    <w:p w14:paraId="21B0CA94">
      <w:pPr>
        <w:autoSpaceDE/>
        <w:autoSpaceDN/>
        <w:spacing w:before="0" w:after="0" w:line="560" w:lineRule="exact"/>
        <w:ind w:left="0" w:right="0" w:firstLine="560" w:firstLineChars="200"/>
        <w:jc w:val="both"/>
        <w:rPr>
          <w:rFonts w:hint="eastAsia" w:ascii="Calibri" w:hAnsi="Calibri" w:eastAsia="仿宋_GB2312" w:cs="Times New Roman"/>
          <w:kern w:val="2"/>
          <w:sz w:val="28"/>
          <w:szCs w:val="22"/>
          <w:lang w:eastAsia="zh-CN"/>
        </w:rPr>
      </w:pPr>
      <w:r>
        <w:rPr>
          <w:rFonts w:hint="eastAsia" w:ascii="Calibri" w:hAnsi="Calibri" w:eastAsia="仿宋_GB2312" w:cs="Times New Roman"/>
          <w:kern w:val="2"/>
          <w:sz w:val="28"/>
          <w:szCs w:val="22"/>
          <w:lang w:eastAsia="zh-CN"/>
        </w:rPr>
        <w:t>手机号码：          </w:t>
      </w:r>
      <w:bookmarkStart w:id="0" w:name="_GoBack"/>
      <w:bookmarkEnd w:id="0"/>
      <w:r>
        <w:rPr>
          <w:rFonts w:hint="eastAsia" w:ascii="Calibri" w:hAnsi="Calibri" w:eastAsia="仿宋_GB2312" w:cs="Times New Roman"/>
          <w:kern w:val="2"/>
          <w:sz w:val="28"/>
          <w:szCs w:val="22"/>
          <w:lang w:eastAsia="zh-CN"/>
        </w:rPr>
        <w:t>         电子邮箱：            微信号：</w:t>
      </w:r>
    </w:p>
    <w:p w14:paraId="175300B2">
      <w:pPr>
        <w:pStyle w:val="2"/>
        <w:tabs>
          <w:tab w:val="left" w:pos="5157"/>
        </w:tabs>
        <w:spacing w:before="197"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供水人：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用水人：</w:t>
      </w:r>
    </w:p>
    <w:p w14:paraId="29A9EDB3">
      <w:pPr>
        <w:pStyle w:val="2"/>
        <w:tabs>
          <w:tab w:val="left" w:pos="6147"/>
        </w:tabs>
        <w:spacing w:line="520" w:lineRule="exact"/>
        <w:ind w:left="1601"/>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（盖章）</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（盖章）</w:t>
      </w:r>
    </w:p>
    <w:p w14:paraId="4AFBAA2B">
      <w:pPr>
        <w:pStyle w:val="2"/>
        <w:tabs>
          <w:tab w:val="left" w:pos="1217"/>
          <w:tab w:val="left" w:pos="5157"/>
          <w:tab w:val="left" w:pos="5817"/>
        </w:tabs>
        <w:spacing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住</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所：</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住</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所：</w:t>
      </w:r>
    </w:p>
    <w:p w14:paraId="0D4F4BC3">
      <w:pPr>
        <w:pStyle w:val="2"/>
        <w:tabs>
          <w:tab w:val="left" w:pos="5157"/>
        </w:tabs>
        <w:spacing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法定代表人（签字</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pacing w:val="-28"/>
          <w:sz w:val="28"/>
          <w:szCs w:val="28"/>
        </w:rPr>
        <w:tab/>
      </w:r>
      <w:r>
        <w:rPr>
          <w:rFonts w:hint="eastAsia" w:ascii="仿宋_GB2312" w:hAnsi="仿宋_GB2312" w:eastAsia="仿宋_GB2312" w:cs="仿宋_GB2312"/>
          <w:color w:val="231F20"/>
          <w:sz w:val="28"/>
          <w:szCs w:val="28"/>
        </w:rPr>
        <w:t>法定代表人（签字</w:t>
      </w:r>
      <w:r>
        <w:rPr>
          <w:rFonts w:hint="eastAsia" w:ascii="仿宋_GB2312" w:hAnsi="仿宋_GB2312" w:eastAsia="仿宋_GB2312" w:cs="仿宋_GB2312"/>
          <w:color w:val="231F20"/>
          <w:spacing w:val="-28"/>
          <w:sz w:val="28"/>
          <w:szCs w:val="28"/>
        </w:rPr>
        <w:t>）：</w:t>
      </w:r>
    </w:p>
    <w:p w14:paraId="505BB1AE">
      <w:pPr>
        <w:pStyle w:val="2"/>
        <w:tabs>
          <w:tab w:val="left" w:pos="5157"/>
        </w:tabs>
        <w:spacing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委托代理人（签字</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pacing w:val="-28"/>
          <w:sz w:val="28"/>
          <w:szCs w:val="28"/>
        </w:rPr>
        <w:tab/>
      </w:r>
      <w:r>
        <w:rPr>
          <w:rFonts w:hint="eastAsia" w:ascii="仿宋_GB2312" w:hAnsi="仿宋_GB2312" w:eastAsia="仿宋_GB2312" w:cs="仿宋_GB2312"/>
          <w:color w:val="231F20"/>
          <w:sz w:val="28"/>
          <w:szCs w:val="28"/>
        </w:rPr>
        <w:t>委托代理人（签字</w:t>
      </w:r>
      <w:r>
        <w:rPr>
          <w:rFonts w:hint="eastAsia" w:ascii="仿宋_GB2312" w:hAnsi="仿宋_GB2312" w:eastAsia="仿宋_GB2312" w:cs="仿宋_GB2312"/>
          <w:color w:val="231F20"/>
          <w:spacing w:val="-28"/>
          <w:sz w:val="28"/>
          <w:szCs w:val="28"/>
        </w:rPr>
        <w:t>）：</w:t>
      </w:r>
    </w:p>
    <w:p w14:paraId="32A5A073">
      <w:pPr>
        <w:pStyle w:val="2"/>
        <w:tabs>
          <w:tab w:val="left" w:pos="5157"/>
        </w:tabs>
        <w:spacing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开户银行：</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开户银行：</w:t>
      </w:r>
    </w:p>
    <w:p w14:paraId="03D453F6">
      <w:pPr>
        <w:pStyle w:val="2"/>
        <w:tabs>
          <w:tab w:val="left" w:pos="1217"/>
          <w:tab w:val="left" w:pos="5157"/>
          <w:tab w:val="left" w:pos="5817"/>
        </w:tabs>
        <w:spacing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账</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号：</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账</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号：</w:t>
      </w:r>
    </w:p>
    <w:p w14:paraId="32042535">
      <w:pPr>
        <w:pStyle w:val="2"/>
        <w:tabs>
          <w:tab w:val="left" w:pos="1217"/>
          <w:tab w:val="left" w:pos="5157"/>
          <w:tab w:val="left" w:pos="5817"/>
        </w:tabs>
        <w:spacing w:line="520" w:lineRule="exact"/>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电</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话：</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电</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话：</w:t>
      </w:r>
    </w:p>
    <w:sectPr>
      <w:headerReference r:id="rId5" w:type="default"/>
      <w:footerReference r:id="rId7" w:type="default"/>
      <w:headerReference r:id="rId6" w:type="even"/>
      <w:footerReference r:id="rId8" w:type="even"/>
      <w:pgSz w:w="11910" w:h="16840"/>
      <w:pgMar w:top="1580" w:right="1300" w:bottom="1020" w:left="1300" w:header="0" w:footer="8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4FE2">
    <w:pPr>
      <w:pStyle w:val="2"/>
      <w:spacing w:before="0" w:line="14" w:lineRule="auto"/>
      <w:ind w:left="0"/>
      <w:rPr>
        <w:sz w:val="20"/>
      </w:rPr>
    </w:pPr>
    <w:r>
      <w:pict>
        <v:shape id="_x0000_s4097" o:spid="_x0000_s4097" o:spt="202" type="#_x0000_t202" style="position:absolute;left:0pt;margin-top:789.25pt;height:13.1pt;width:9pt;mso-position-horizontal:outside;mso-position-horizontal-relative:margin;mso-position-vertical-relative:page;z-index:251659264;mso-width-relative:page;mso-height-relative:page;" filled="f" stroked="f" coordsize="21600,21600">
          <v:path/>
          <v:fill on="f" focussize="0,0"/>
          <v:stroke on="f"/>
          <v:imagedata o:title=""/>
          <o:lock v:ext="edit" aspectratio="f"/>
          <v:textbox inset="0mm,0mm,0mm,0mm">
            <w:txbxContent>
              <w:p w14:paraId="4D6085E4">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89B3">
    <w:pPr>
      <w:pStyle w:val="2"/>
      <w:spacing w:before="0" w:line="14" w:lineRule="auto"/>
      <w:ind w:left="0"/>
      <w:rPr>
        <w:sz w:val="20"/>
      </w:rPr>
    </w:pPr>
    <w:r>
      <w:pict>
        <v:shape id="_x0000_s4098" o:spid="_x0000_s4098" o:spt="202" type="#_x0000_t202" style="position:absolute;left:0pt;margin-top:789.25pt;height:13.1pt;width:9pt;mso-position-horizontal:outside;mso-position-horizontal-relative:margin;mso-position-vertical-relative:page;z-index:251659264;mso-width-relative:page;mso-height-relative:page;" filled="f" stroked="f" coordsize="21600,21600">
          <v:path/>
          <v:fill on="f" focussize="0,0"/>
          <v:stroke on="f"/>
          <v:imagedata o:title=""/>
          <o:lock v:ext="edit" aspectratio="f"/>
          <v:textbox inset="0mm,0mm,0mm,0mm">
            <w:txbxContent>
              <w:p w14:paraId="4A9FA7A3">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B556">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57B1">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6" w:hanging="219"/>
      </w:pPr>
      <w:rPr>
        <w:rFonts w:hint="default"/>
      </w:rPr>
    </w:lvl>
    <w:lvl w:ilvl="2" w:tentative="0">
      <w:start w:val="0"/>
      <w:numFmt w:val="bullet"/>
      <w:lvlText w:val="•"/>
      <w:lvlJc w:val="left"/>
      <w:pPr>
        <w:ind w:left="1973" w:hanging="219"/>
      </w:pPr>
      <w:rPr>
        <w:rFonts w:hint="default"/>
      </w:rPr>
    </w:lvl>
    <w:lvl w:ilvl="3" w:tentative="0">
      <w:start w:val="0"/>
      <w:numFmt w:val="bullet"/>
      <w:lvlText w:val="•"/>
      <w:lvlJc w:val="left"/>
      <w:pPr>
        <w:ind w:left="2899" w:hanging="219"/>
      </w:pPr>
      <w:rPr>
        <w:rFonts w:hint="default"/>
      </w:rPr>
    </w:lvl>
    <w:lvl w:ilvl="4" w:tentative="0">
      <w:start w:val="0"/>
      <w:numFmt w:val="bullet"/>
      <w:lvlText w:val="•"/>
      <w:lvlJc w:val="left"/>
      <w:pPr>
        <w:ind w:left="3826" w:hanging="219"/>
      </w:pPr>
      <w:rPr>
        <w:rFonts w:hint="default"/>
      </w:rPr>
    </w:lvl>
    <w:lvl w:ilvl="5" w:tentative="0">
      <w:start w:val="0"/>
      <w:numFmt w:val="bullet"/>
      <w:lvlText w:val="•"/>
      <w:lvlJc w:val="left"/>
      <w:pPr>
        <w:ind w:left="4752" w:hanging="219"/>
      </w:pPr>
      <w:rPr>
        <w:rFonts w:hint="default"/>
      </w:rPr>
    </w:lvl>
    <w:lvl w:ilvl="6" w:tentative="0">
      <w:start w:val="0"/>
      <w:numFmt w:val="bullet"/>
      <w:lvlText w:val="•"/>
      <w:lvlJc w:val="left"/>
      <w:pPr>
        <w:ind w:left="5679" w:hanging="219"/>
      </w:pPr>
      <w:rPr>
        <w:rFonts w:hint="default"/>
      </w:rPr>
    </w:lvl>
    <w:lvl w:ilvl="7" w:tentative="0">
      <w:start w:val="0"/>
      <w:numFmt w:val="bullet"/>
      <w:lvlText w:val="•"/>
      <w:lvlJc w:val="left"/>
      <w:pPr>
        <w:ind w:left="6605" w:hanging="219"/>
      </w:pPr>
      <w:rPr>
        <w:rFonts w:hint="default"/>
      </w:rPr>
    </w:lvl>
    <w:lvl w:ilvl="8" w:tentative="0">
      <w:start w:val="0"/>
      <w:numFmt w:val="bullet"/>
      <w:lvlText w:val="•"/>
      <w:lvlJc w:val="left"/>
      <w:pPr>
        <w:ind w:left="7532" w:hanging="219"/>
      </w:pPr>
      <w:rPr>
        <w:rFonts w:hint="default"/>
      </w:rPr>
    </w:lvl>
  </w:abstractNum>
  <w:abstractNum w:abstractNumId="1">
    <w:nsid w:val="77ECEA79"/>
    <w:multiLevelType w:val="multilevel"/>
    <w:tmpl w:val="77ECEA79"/>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ZGY1OTlmOTQ5MmM5YTQ3NTA1YjVlYTNiMTg2MGE5M2IifQ=="/>
  </w:docVars>
  <w:rsids>
    <w:rsidRoot w:val="00000000"/>
    <w:rsid w:val="01861E90"/>
    <w:rsid w:val="228C6342"/>
    <w:rsid w:val="36AD2A4B"/>
    <w:rsid w:val="44C73B42"/>
    <w:rsid w:val="4B3F49CA"/>
    <w:rsid w:val="50A415F4"/>
    <w:rsid w:val="59EF708E"/>
    <w:rsid w:val="653A665E"/>
    <w:rsid w:val="72746772"/>
    <w:rsid w:val="755D5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89"/>
      <w:ind w:left="117"/>
    </w:pPr>
    <w:rPr>
      <w:rFonts w:ascii="方正书宋_GBK" w:hAnsi="方正书宋_GBK" w:eastAsia="方正书宋_GBK" w:cs="方正书宋_GBK"/>
      <w:sz w:val="22"/>
      <w:szCs w:val="2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1"/>
      <w:ind w:left="117" w:firstLine="440"/>
    </w:pPr>
    <w:rPr>
      <w:rFonts w:ascii="方正书宋_GBK" w:hAnsi="方正书宋_GBK" w:eastAsia="方正书宋_GBK" w:cs="方正书宋_GBK"/>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2665</Words>
  <Characters>2673</Characters>
  <TotalTime>1</TotalTime>
  <ScaleCrop>false</ScaleCrop>
  <LinksUpToDate>false</LinksUpToDate>
  <CharactersWithSpaces>2868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2021-12-01T23:28:00Z</dcterms:created>
  <dc:creator>zcw</dc:creator>
  <cp:lastModifiedBy>门学孟</cp:lastModifiedBy>
  <dcterms:modified xsi:type="dcterms:W3CDTF">2025-02-10T06:11:30Z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FD74EDAE8D804772B41FC7874D22F365_12</vt:lpwstr>
  </property>
  <property fmtid="{D5CDD505-2E9C-101B-9397-08002B2CF9AE}" pid="7" name="KSOTemplateDocerSaveRecord">
    <vt:lpwstr>eyJoZGlkIjoiY2I1NWQ5MWJlMzAwM2E2Zjk2NzdlMThkNGMzNDE4MjgiLCJ1c2VySWQiOiIyNDE0NzM0NTUifQ==</vt:lpwstr>
  </property>
</Properties>
</file>