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9257">
      <w:pPr>
        <w:pStyle w:val="5"/>
        <w:rPr>
          <w:sz w:val="20"/>
        </w:rPr>
      </w:pPr>
    </w:p>
    <w:p w14:paraId="63C9A852">
      <w:pPr>
        <w:pStyle w:val="5"/>
        <w:spacing w:before="3"/>
        <w:rPr>
          <w:sz w:val="15"/>
        </w:rPr>
      </w:pPr>
    </w:p>
    <w:p w14:paraId="0658CF25">
      <w:pPr>
        <w:spacing w:before="0" w:line="481" w:lineRule="exact"/>
        <w:ind w:left="0" w:right="98" w:firstLine="0"/>
        <w:jc w:val="center"/>
        <w:rPr>
          <w:rFonts w:hint="eastAsia" w:ascii="黑体" w:hAnsi="黑体" w:eastAsia="黑体" w:cs="黑体"/>
          <w:sz w:val="44"/>
          <w:szCs w:val="44"/>
        </w:rPr>
      </w:pPr>
      <w:r>
        <w:rPr>
          <w:rFonts w:hint="eastAsia" w:ascii="黑体" w:hAnsi="黑体" w:eastAsia="黑体" w:cs="黑体"/>
          <w:color w:val="231F20"/>
          <w:sz w:val="44"/>
          <w:szCs w:val="44"/>
        </w:rPr>
        <w:t>二手车买卖合同</w:t>
      </w:r>
    </w:p>
    <w:p w14:paraId="5F9E9F2B">
      <w:pPr>
        <w:pStyle w:val="5"/>
        <w:spacing w:before="11"/>
        <w:rPr>
          <w:rFonts w:ascii="方正小标宋_GBK"/>
          <w:sz w:val="12"/>
        </w:rPr>
      </w:pPr>
    </w:p>
    <w:p w14:paraId="1797BBB7">
      <w:pPr>
        <w:pStyle w:val="5"/>
        <w:spacing w:before="22"/>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合同编号 :</w:t>
      </w:r>
    </w:p>
    <w:p w14:paraId="66543810">
      <w:pPr>
        <w:pStyle w:val="5"/>
        <w:rPr>
          <w:rFonts w:hint="eastAsia" w:ascii="仿宋_GB2312" w:hAnsi="仿宋_GB2312" w:eastAsia="仿宋_GB2312" w:cs="仿宋_GB2312"/>
          <w:sz w:val="28"/>
          <w:szCs w:val="28"/>
        </w:rPr>
      </w:pPr>
    </w:p>
    <w:p w14:paraId="2B1C1935">
      <w:pPr>
        <w:pStyle w:val="5"/>
        <w:spacing w:before="188"/>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甲方（出卖人）</w:t>
      </w:r>
      <w:r>
        <w:rPr>
          <w:rFonts w:hint="eastAsia" w:ascii="仿宋_GB2312" w:hAnsi="仿宋_GB2312" w:eastAsia="仿宋_GB2312" w:cs="仿宋_GB2312"/>
          <w:color w:val="231F20"/>
          <w:sz w:val="28"/>
          <w:szCs w:val="28"/>
          <w:lang w:eastAsia="zh-CN"/>
        </w:rPr>
        <w:t>：</w:t>
      </w:r>
    </w:p>
    <w:p w14:paraId="23D9CEB1">
      <w:pPr>
        <w:pStyle w:val="5"/>
        <w:tabs>
          <w:tab w:val="left" w:pos="4437"/>
        </w:tabs>
        <w:spacing w:before="109"/>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法定代表人 :</w:t>
      </w:r>
    </w:p>
    <w:p w14:paraId="1ADA39B6">
      <w:pPr>
        <w:pStyle w:val="5"/>
        <w:spacing w:before="109"/>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身份证号码 :</w:t>
      </w:r>
    </w:p>
    <w:p w14:paraId="7D7D3433">
      <w:pPr>
        <w:pStyle w:val="5"/>
        <w:spacing w:before="109" w:line="319" w:lineRule="auto"/>
        <w:ind w:left="557" w:right="5204"/>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社会信用统一代码或工商登记注册号 : 电话号码 :</w:t>
      </w:r>
    </w:p>
    <w:p w14:paraId="5A4787FD">
      <w:pPr>
        <w:pStyle w:val="5"/>
        <w:spacing w:before="26"/>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乙方（买受人）</w:t>
      </w:r>
      <w:r>
        <w:rPr>
          <w:rFonts w:hint="eastAsia" w:ascii="仿宋_GB2312" w:hAnsi="仿宋_GB2312" w:eastAsia="仿宋_GB2312" w:cs="仿宋_GB2312"/>
          <w:color w:val="231F20"/>
          <w:sz w:val="28"/>
          <w:szCs w:val="28"/>
          <w:lang w:eastAsia="zh-CN"/>
        </w:rPr>
        <w:t>：</w:t>
      </w:r>
    </w:p>
    <w:p w14:paraId="69B09354">
      <w:pPr>
        <w:pStyle w:val="5"/>
        <w:tabs>
          <w:tab w:val="left" w:pos="4437"/>
        </w:tabs>
        <w:spacing w:before="109"/>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法定代表人 :</w:t>
      </w:r>
    </w:p>
    <w:p w14:paraId="5C72A6A3">
      <w:pPr>
        <w:pStyle w:val="5"/>
        <w:spacing w:before="109"/>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社会信用统一代码或工商登记注册号 :</w:t>
      </w:r>
    </w:p>
    <w:p w14:paraId="6E723BC6">
      <w:pPr>
        <w:pStyle w:val="5"/>
        <w:tabs>
          <w:tab w:val="left" w:pos="4437"/>
        </w:tabs>
        <w:spacing w:before="109"/>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身份证号码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电话号码 :</w:t>
      </w:r>
    </w:p>
    <w:p w14:paraId="6567E6B9">
      <w:pPr>
        <w:pStyle w:val="5"/>
        <w:spacing w:before="109" w:line="319" w:lineRule="auto"/>
        <w:ind w:left="117" w:right="144"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0"/>
          <w:sz w:val="28"/>
          <w:szCs w:val="28"/>
        </w:rPr>
        <w:t>根据《中华人民共和国</w:t>
      </w:r>
      <w:r>
        <w:rPr>
          <w:rFonts w:hint="eastAsia" w:ascii="仿宋_GB2312" w:hAnsi="仿宋_GB2312" w:eastAsia="仿宋_GB2312" w:cs="仿宋_GB2312"/>
          <w:color w:val="231F20"/>
          <w:spacing w:val="-10"/>
          <w:sz w:val="28"/>
          <w:szCs w:val="28"/>
          <w:lang w:val="en-US" w:eastAsia="zh-CN"/>
        </w:rPr>
        <w:t>民法典》</w:t>
      </w:r>
      <w:r>
        <w:rPr>
          <w:rFonts w:hint="eastAsia" w:ascii="仿宋_GB2312" w:hAnsi="仿宋_GB2312" w:eastAsia="仿宋_GB2312" w:cs="仿宋_GB2312"/>
          <w:color w:val="231F20"/>
          <w:spacing w:val="-14"/>
          <w:sz w:val="28"/>
          <w:szCs w:val="28"/>
        </w:rPr>
        <w:t>等有关法律、法规、规章的规定， 就二手车的买卖事宜，买卖双方在平等、自愿、协商一致的基础上签订本合同。</w:t>
      </w:r>
    </w:p>
    <w:p w14:paraId="17F6DD0C">
      <w:pPr>
        <w:pStyle w:val="4"/>
        <w:tabs>
          <w:tab w:val="left" w:pos="959"/>
        </w:tabs>
        <w:spacing w:before="182"/>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车辆基本情况</w:t>
      </w:r>
    </w:p>
    <w:p w14:paraId="4AF1E2F7">
      <w:pPr>
        <w:pStyle w:val="5"/>
        <w:spacing w:before="5"/>
        <w:rPr>
          <w:rFonts w:hint="eastAsia" w:ascii="仿宋_GB2312" w:hAnsi="仿宋_GB2312" w:eastAsia="仿宋_GB2312" w:cs="仿宋_GB2312"/>
          <w:sz w:val="28"/>
          <w:szCs w:val="28"/>
        </w:rPr>
      </w:pPr>
    </w:p>
    <w:p w14:paraId="36D53F98">
      <w:pPr>
        <w:pStyle w:val="9"/>
        <w:numPr>
          <w:ilvl w:val="0"/>
          <w:numId w:val="1"/>
        </w:numPr>
        <w:tabs>
          <w:tab w:val="left" w:pos="776"/>
          <w:tab w:val="left" w:pos="5465"/>
        </w:tabs>
        <w:spacing w:before="0" w:after="0" w:line="319" w:lineRule="auto"/>
        <w:ind w:left="557" w:right="3706"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车主名称或姓名</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厂牌型号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9604197">
      <w:pPr>
        <w:pStyle w:val="5"/>
        <w:spacing w:before="14"/>
        <w:rPr>
          <w:rFonts w:hint="eastAsia" w:ascii="仿宋_GB2312" w:hAnsi="仿宋_GB2312" w:eastAsia="仿宋_GB2312" w:cs="仿宋_GB2312"/>
          <w:sz w:val="28"/>
          <w:szCs w:val="28"/>
        </w:rPr>
      </w:pPr>
    </w:p>
    <w:p w14:paraId="1DE7A010">
      <w:pPr>
        <w:pStyle w:val="5"/>
        <w:tabs>
          <w:tab w:val="left" w:pos="4907"/>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车架号</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/VIN</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码</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082B62AB">
      <w:pPr>
        <w:pStyle w:val="9"/>
        <w:numPr>
          <w:ilvl w:val="0"/>
          <w:numId w:val="1"/>
        </w:numPr>
        <w:tabs>
          <w:tab w:val="left" w:pos="776"/>
          <w:tab w:val="left" w:pos="2368"/>
          <w:tab w:val="left" w:pos="8091"/>
        </w:tabs>
        <w:spacing w:before="108" w:after="0" w:line="319" w:lineRule="auto"/>
        <w:ind w:left="117" w:right="215"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是或否）因为质量问题而进行过更换、退货或主要零部件的维修、更换，原因是</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B6C1B80">
      <w:pPr>
        <w:pStyle w:val="5"/>
        <w:spacing w:before="10"/>
        <w:rPr>
          <w:rFonts w:hint="eastAsia" w:ascii="仿宋_GB2312" w:hAnsi="仿宋_GB2312" w:eastAsia="仿宋_GB2312" w:cs="仿宋_GB2312"/>
          <w:sz w:val="28"/>
          <w:szCs w:val="28"/>
        </w:rPr>
      </w:pPr>
    </w:p>
    <w:p w14:paraId="29879E2B">
      <w:pPr>
        <w:pStyle w:val="4"/>
        <w:tabs>
          <w:tab w:val="left" w:pos="959"/>
        </w:tabs>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第二条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车辆价款、过户手续费及支付时间、方式</w:t>
      </w:r>
    </w:p>
    <w:p w14:paraId="25CC224B">
      <w:pPr>
        <w:pStyle w:val="5"/>
        <w:spacing w:before="5"/>
        <w:rPr>
          <w:rFonts w:hint="eastAsia" w:ascii="仿宋_GB2312" w:hAnsi="仿宋_GB2312" w:eastAsia="仿宋_GB2312" w:cs="仿宋_GB2312"/>
          <w:sz w:val="28"/>
          <w:szCs w:val="28"/>
        </w:rPr>
      </w:pPr>
    </w:p>
    <w:p w14:paraId="7D865158">
      <w:pPr>
        <w:pStyle w:val="9"/>
        <w:numPr>
          <w:ilvl w:val="0"/>
          <w:numId w:val="2"/>
        </w:numPr>
        <w:tabs>
          <w:tab w:val="left" w:pos="776"/>
        </w:tabs>
        <w:spacing w:before="0" w:after="0" w:line="240" w:lineRule="auto"/>
        <w:ind w:left="775"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车辆价款及过户手续费</w:t>
      </w:r>
    </w:p>
    <w:p w14:paraId="47C4239F">
      <w:pPr>
        <w:pStyle w:val="5"/>
        <w:tabs>
          <w:tab w:val="left" w:pos="3840"/>
          <w:tab w:val="left" w:pos="5604"/>
          <w:tab w:val="left" w:pos="7459"/>
          <w:tab w:val="left" w:pos="8661"/>
        </w:tabs>
        <w:spacing w:before="109" w:line="319" w:lineRule="auto"/>
        <w:ind w:left="557" w:right="24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本车价款（不含税费或</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费用）为人民币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过户手续费为人民币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83"/>
          <w:sz w:val="28"/>
          <w:szCs w:val="28"/>
        </w:rPr>
        <w:t>）。</w:t>
      </w:r>
    </w:p>
    <w:p w14:paraId="1BE6FEED">
      <w:pPr>
        <w:pStyle w:val="5"/>
        <w:spacing w:before="24"/>
        <w:ind w:left="557"/>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支付时间、方式</w:t>
      </w:r>
    </w:p>
    <w:p w14:paraId="27649908">
      <w:pPr>
        <w:pStyle w:val="5"/>
        <w:spacing w:before="24"/>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□合同签订之日，一次性付清车款 ;</w:t>
      </w:r>
    </w:p>
    <w:p w14:paraId="48AF6C62">
      <w:pPr>
        <w:pStyle w:val="5"/>
        <w:tabs>
          <w:tab w:val="left" w:pos="1870"/>
          <w:tab w:val="left" w:pos="4078"/>
          <w:tab w:val="left" w:pos="6955"/>
          <w:tab w:val="left" w:pos="7029"/>
          <w:tab w:val="left" w:pos="8088"/>
        </w:tabs>
        <w:spacing w:before="109" w:line="319" w:lineRule="auto"/>
        <w:ind w:left="117" w:right="215"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□合同签订之日，交付订金</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pacing w:val="-110"/>
          <w:sz w:val="28"/>
          <w:szCs w:val="28"/>
          <w:u w:val="single" w:color="231F20"/>
        </w:rPr>
        <w:t xml:space="preserve"> </w:t>
      </w:r>
      <w:r>
        <w:rPr>
          <w:rFonts w:hint="eastAsia" w:ascii="仿宋_GB2312" w:hAnsi="仿宋_GB2312" w:eastAsia="仿宋_GB2312" w:cs="仿宋_GB2312"/>
          <w:color w:val="231F20"/>
          <w:spacing w:val="-110"/>
          <w:sz w:val="28"/>
          <w:szCs w:val="28"/>
          <w:u w:val="single" w:color="231F20"/>
        </w:rPr>
        <w:tab/>
      </w:r>
      <w:r>
        <w:rPr>
          <w:rFonts w:hint="eastAsia" w:ascii="仿宋_GB2312" w:hAnsi="仿宋_GB2312" w:eastAsia="仿宋_GB2312" w:cs="仿宋_GB2312"/>
          <w:color w:val="231F20"/>
          <w:sz w:val="28"/>
          <w:szCs w:val="28"/>
        </w:rPr>
        <w:t>个工作日内付清余款</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z w:val="28"/>
          <w:szCs w:val="28"/>
          <w:lang w:eastAsia="zh-CN"/>
        </w:rPr>
        <w:t>；</w:t>
      </w:r>
    </w:p>
    <w:p w14:paraId="71857622">
      <w:pPr>
        <w:pStyle w:val="5"/>
        <w:spacing w:before="25"/>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□其他支付方式，如使用汽车消费贷款等支付方式以补充合同形式另行约定。</w:t>
      </w:r>
    </w:p>
    <w:p w14:paraId="0AD27D38">
      <w:pPr>
        <w:pStyle w:val="5"/>
        <w:spacing w:before="108"/>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□过户手续费由乙方承担 ;</w:t>
      </w:r>
    </w:p>
    <w:p w14:paraId="1321DEBB">
      <w:pPr>
        <w:pStyle w:val="5"/>
        <w:spacing w:before="108"/>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□过户手续费由甲方承担 ;</w:t>
      </w:r>
    </w:p>
    <w:p w14:paraId="3048E5D1">
      <w:pPr>
        <w:pStyle w:val="5"/>
        <w:tabs>
          <w:tab w:val="left" w:pos="2093"/>
          <w:tab w:val="left" w:pos="4033"/>
          <w:tab w:val="left" w:pos="4073"/>
          <w:tab w:val="left" w:pos="5732"/>
          <w:tab w:val="left" w:pos="8643"/>
          <w:tab w:val="left" w:pos="8766"/>
        </w:tabs>
        <w:spacing w:before="108" w:line="319" w:lineRule="auto"/>
        <w:ind w:left="117" w:right="264"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□过户手续费由乙方承担</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37"/>
          <w:sz w:val="28"/>
          <w:szCs w:val="28"/>
        </w:rPr>
        <w:t>元</w:t>
      </w:r>
      <w:r>
        <w:rPr>
          <w:rFonts w:hint="eastAsia" w:ascii="仿宋_GB2312" w:hAnsi="仿宋_GB2312" w:eastAsia="仿宋_GB2312" w:cs="仿宋_GB2312"/>
          <w:color w:val="231F20"/>
          <w:sz w:val="28"/>
          <w:szCs w:val="28"/>
        </w:rPr>
        <w:t>（大写</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64"/>
          <w:sz w:val="28"/>
          <w:szCs w:val="28"/>
        </w:rPr>
        <w:t>）</w:t>
      </w:r>
      <w:r>
        <w:rPr>
          <w:rFonts w:hint="eastAsia" w:ascii="仿宋_GB2312" w:hAnsi="仿宋_GB2312" w:eastAsia="仿宋_GB2312" w:cs="仿宋_GB2312"/>
          <w:color w:val="231F20"/>
          <w:spacing w:val="-64"/>
          <w:sz w:val="28"/>
          <w:szCs w:val="28"/>
          <w:lang w:eastAsia="zh-CN"/>
        </w:rPr>
        <w:t>；</w:t>
      </w:r>
      <w:r>
        <w:rPr>
          <w:rFonts w:hint="eastAsia" w:ascii="仿宋_GB2312" w:hAnsi="仿宋_GB2312" w:eastAsia="仿宋_GB2312" w:cs="仿宋_GB2312"/>
          <w:color w:val="231F20"/>
          <w:sz w:val="28"/>
          <w:szCs w:val="28"/>
        </w:rPr>
        <w:t>甲方承担</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83"/>
          <w:sz w:val="28"/>
          <w:szCs w:val="28"/>
        </w:rPr>
        <w:t>）。</w:t>
      </w:r>
    </w:p>
    <w:p w14:paraId="451CE452">
      <w:pPr>
        <w:pStyle w:val="5"/>
        <w:spacing w:before="25"/>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车辆过户时将过户手续费支付给双方约定的过户手续办理方。</w:t>
      </w:r>
    </w:p>
    <w:p w14:paraId="239DDE26">
      <w:pPr>
        <w:pStyle w:val="5"/>
        <w:spacing w:before="9"/>
        <w:rPr>
          <w:rFonts w:hint="eastAsia" w:ascii="仿宋_GB2312" w:hAnsi="仿宋_GB2312" w:eastAsia="仿宋_GB2312" w:cs="仿宋_GB2312"/>
          <w:sz w:val="28"/>
          <w:szCs w:val="28"/>
        </w:rPr>
      </w:pPr>
    </w:p>
    <w:p w14:paraId="165B9629">
      <w:pPr>
        <w:pStyle w:val="4"/>
        <w:tabs>
          <w:tab w:val="left" w:pos="3572"/>
        </w:tabs>
        <w:ind w:left="2612" w:right="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第三条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车辆的过户、交付及风险承担</w:t>
      </w:r>
    </w:p>
    <w:p w14:paraId="040F6429">
      <w:pPr>
        <w:pStyle w:val="5"/>
        <w:spacing w:before="4"/>
        <w:rPr>
          <w:rFonts w:hint="eastAsia" w:ascii="仿宋_GB2312" w:hAnsi="仿宋_GB2312" w:eastAsia="仿宋_GB2312" w:cs="仿宋_GB2312"/>
          <w:sz w:val="28"/>
          <w:szCs w:val="28"/>
        </w:rPr>
      </w:pPr>
    </w:p>
    <w:p w14:paraId="322F917C">
      <w:pPr>
        <w:pStyle w:val="5"/>
        <w:tabs>
          <w:tab w:val="left" w:pos="5224"/>
          <w:tab w:val="left" w:pos="5860"/>
        </w:tabs>
        <w:spacing w:before="1" w:line="319" w:lineRule="auto"/>
        <w:ind w:left="557" w:right="213"/>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过户手续办理方应于本合同签订之日起</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个工作日内，办理完成过户、转籍手续。甲方应于本车过户、转籍手续办理完成后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个工作日内在（地点）向乙方交付车辆及相关凭证。</w:t>
      </w:r>
    </w:p>
    <w:p w14:paraId="01F15021">
      <w:pPr>
        <w:pStyle w:val="5"/>
        <w:spacing w:before="109" w:line="319" w:lineRule="auto"/>
        <w:ind w:left="117" w:right="144"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在车辆交付乙方之前所发生的所有风险由甲方承担 ; 在车辆交付乙方之后所发生的所有风险由乙方承担。</w:t>
      </w:r>
    </w:p>
    <w:p w14:paraId="284CCE9F">
      <w:pPr>
        <w:pStyle w:val="4"/>
        <w:tabs>
          <w:tab w:val="left" w:pos="959"/>
        </w:tabs>
        <w:spacing w:before="182"/>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第四条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双方的权利和义务</w:t>
      </w:r>
    </w:p>
    <w:p w14:paraId="66221247">
      <w:pPr>
        <w:pStyle w:val="5"/>
        <w:spacing w:before="5"/>
        <w:rPr>
          <w:rFonts w:hint="eastAsia" w:ascii="仿宋_GB2312" w:hAnsi="仿宋_GB2312" w:eastAsia="仿宋_GB2312" w:cs="仿宋_GB2312"/>
          <w:sz w:val="28"/>
          <w:szCs w:val="28"/>
        </w:rPr>
      </w:pPr>
    </w:p>
    <w:p w14:paraId="4F150970">
      <w:pPr>
        <w:pStyle w:val="9"/>
        <w:numPr>
          <w:ilvl w:val="0"/>
          <w:numId w:val="3"/>
        </w:numPr>
        <w:tabs>
          <w:tab w:val="left" w:pos="776"/>
        </w:tabs>
        <w:spacing w:before="0" w:after="0" w:line="240" w:lineRule="auto"/>
        <w:ind w:left="117"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甲方应按照合同约定的时间、地点向乙方交付车辆及相关凭证。</w:t>
      </w:r>
    </w:p>
    <w:p w14:paraId="43335EB0">
      <w:pPr>
        <w:pStyle w:val="9"/>
        <w:numPr>
          <w:ilvl w:val="0"/>
          <w:numId w:val="3"/>
        </w:numPr>
        <w:tabs>
          <w:tab w:val="left" w:pos="776"/>
        </w:tabs>
        <w:spacing w:before="108" w:after="0" w:line="240" w:lineRule="auto"/>
        <w:ind w:left="117"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甲方应保证合法享有车辆的所有权或处置权。</w:t>
      </w:r>
    </w:p>
    <w:p w14:paraId="57C529A9">
      <w:pPr>
        <w:pStyle w:val="9"/>
        <w:numPr>
          <w:ilvl w:val="0"/>
          <w:numId w:val="3"/>
        </w:numPr>
        <w:tabs>
          <w:tab w:val="left" w:pos="776"/>
        </w:tabs>
        <w:spacing w:before="108" w:after="0" w:line="240" w:lineRule="auto"/>
        <w:ind w:left="117"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甲方保证所出示及提供的与车辆有关的一切证件、证明及信息合法、真实、有效。</w:t>
      </w:r>
    </w:p>
    <w:p w14:paraId="4D73F459">
      <w:pPr>
        <w:pStyle w:val="9"/>
        <w:numPr>
          <w:ilvl w:val="0"/>
          <w:numId w:val="3"/>
        </w:numPr>
        <w:tabs>
          <w:tab w:val="left" w:pos="776"/>
        </w:tabs>
        <w:spacing w:before="108" w:after="0" w:line="240" w:lineRule="auto"/>
        <w:ind w:left="117"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乙方应按照合同约定支付价款。</w:t>
      </w:r>
    </w:p>
    <w:p w14:paraId="52CDD41D">
      <w:pPr>
        <w:pStyle w:val="9"/>
        <w:numPr>
          <w:ilvl w:val="0"/>
          <w:numId w:val="3"/>
        </w:numPr>
        <w:tabs>
          <w:tab w:val="left" w:pos="763"/>
        </w:tabs>
        <w:spacing w:before="108" w:after="0" w:line="319" w:lineRule="auto"/>
        <w:ind w:left="117" w:right="219"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对转出属地的车辆，乙方确认已经了解注册地对于迁入机动车限制性规定，确认该车辆符合当地注册登记标准。如果因非甲方原因导致乙方无法在当地注册登记的，乙方自行承担责任。</w:t>
      </w:r>
    </w:p>
    <w:p w14:paraId="4683763A">
      <w:pPr>
        <w:pStyle w:val="4"/>
        <w:tabs>
          <w:tab w:val="left" w:pos="4052"/>
        </w:tabs>
        <w:spacing w:before="181"/>
        <w:ind w:left="3092" w:right="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第五条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车辆质量与质量保证</w:t>
      </w:r>
    </w:p>
    <w:p w14:paraId="26948B21">
      <w:pPr>
        <w:pStyle w:val="5"/>
        <w:spacing w:before="5"/>
        <w:rPr>
          <w:rFonts w:hint="eastAsia" w:ascii="仿宋_GB2312" w:hAnsi="仿宋_GB2312" w:eastAsia="仿宋_GB2312" w:cs="仿宋_GB2312"/>
          <w:sz w:val="28"/>
          <w:szCs w:val="28"/>
        </w:rPr>
      </w:pPr>
    </w:p>
    <w:p w14:paraId="3196079B">
      <w:pPr>
        <w:pStyle w:val="9"/>
        <w:numPr>
          <w:ilvl w:val="0"/>
          <w:numId w:val="4"/>
        </w:numPr>
        <w:tabs>
          <w:tab w:val="left" w:pos="778"/>
        </w:tabs>
        <w:spacing w:before="0" w:after="0" w:line="319" w:lineRule="auto"/>
        <w:ind w:left="117" w:right="208"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甲方为法人的或通过法人机构委托销售、拍卖的，应提供二手车技术状况</w:t>
      </w:r>
      <w:r>
        <w:rPr>
          <w:rFonts w:hint="eastAsia" w:ascii="仿宋_GB2312" w:hAnsi="仿宋_GB2312" w:eastAsia="仿宋_GB2312" w:cs="仿宋_GB2312"/>
          <w:color w:val="231F20"/>
          <w:sz w:val="28"/>
          <w:szCs w:val="28"/>
        </w:rPr>
        <w:t>表，作为合同的一部分。</w:t>
      </w:r>
    </w:p>
    <w:p w14:paraId="5110B102">
      <w:pPr>
        <w:pStyle w:val="9"/>
        <w:numPr>
          <w:ilvl w:val="0"/>
          <w:numId w:val="4"/>
        </w:numPr>
        <w:tabs>
          <w:tab w:val="left" w:pos="776"/>
          <w:tab w:val="left" w:pos="4786"/>
          <w:tab w:val="left" w:pos="8996"/>
        </w:tabs>
        <w:spacing w:before="26" w:after="0" w:line="240" w:lineRule="auto"/>
        <w:ind w:left="775"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车辆完成交易后，甲方向乙方提供</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个月的质保，质保范围为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D994D16">
      <w:pPr>
        <w:pStyle w:val="5"/>
        <w:spacing w:before="10"/>
        <w:rPr>
          <w:rFonts w:hint="eastAsia" w:ascii="仿宋_GB2312" w:hAnsi="仿宋_GB2312" w:eastAsia="仿宋_GB2312" w:cs="仿宋_GB2312"/>
          <w:sz w:val="28"/>
          <w:szCs w:val="28"/>
        </w:rPr>
      </w:pPr>
      <w:bookmarkStart w:id="0" w:name="_GoBack"/>
      <w:bookmarkEnd w:id="0"/>
    </w:p>
    <w:p w14:paraId="076D66AD">
      <w:pPr>
        <w:pStyle w:val="4"/>
        <w:tabs>
          <w:tab w:val="left" w:pos="959"/>
        </w:tabs>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第六条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违约责任</w:t>
      </w:r>
    </w:p>
    <w:p w14:paraId="197962A8">
      <w:pPr>
        <w:pStyle w:val="5"/>
        <w:spacing w:before="5"/>
        <w:rPr>
          <w:rFonts w:hint="eastAsia" w:ascii="仿宋_GB2312" w:hAnsi="仿宋_GB2312" w:eastAsia="仿宋_GB2312" w:cs="仿宋_GB2312"/>
          <w:sz w:val="28"/>
          <w:szCs w:val="28"/>
        </w:rPr>
      </w:pPr>
    </w:p>
    <w:p w14:paraId="20662F3D">
      <w:pPr>
        <w:pStyle w:val="5"/>
        <w:spacing w:before="24"/>
        <w:ind w:left="11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甲方向乙方提供的有关车辆信息不真实或甲方故意隐瞒相关车辆信息，包括三包记录、维修记录、改装记录等，乙方有权解除合同，并要求甲方赔偿因此造成的损失。</w:t>
      </w:r>
    </w:p>
    <w:p w14:paraId="375E03A1">
      <w:pPr>
        <w:pStyle w:val="9"/>
        <w:numPr>
          <w:ilvl w:val="0"/>
          <w:numId w:val="5"/>
        </w:numPr>
        <w:tabs>
          <w:tab w:val="left" w:pos="776"/>
          <w:tab w:val="left" w:pos="5359"/>
          <w:tab w:val="left" w:pos="7208"/>
          <w:tab w:val="left" w:pos="8895"/>
        </w:tabs>
        <w:spacing w:before="109" w:after="0" w:line="319" w:lineRule="auto"/>
        <w:ind w:left="117" w:right="105"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甲方未按合同的约定期限将本车及其相关凭证交付乙方超过</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日的，乙方有权解除本合同，并由甲方逾期每日按本车价款总额的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（最高不超过合同总价款的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向乙方支付违约金。</w:t>
      </w:r>
    </w:p>
    <w:p w14:paraId="22BEA304">
      <w:pPr>
        <w:pStyle w:val="9"/>
        <w:numPr>
          <w:ilvl w:val="0"/>
          <w:numId w:val="5"/>
        </w:numPr>
        <w:tabs>
          <w:tab w:val="left" w:pos="776"/>
          <w:tab w:val="left" w:pos="3193"/>
          <w:tab w:val="left" w:pos="5668"/>
          <w:tab w:val="left" w:pos="6928"/>
        </w:tabs>
        <w:spacing w:before="25" w:after="0" w:line="319" w:lineRule="auto"/>
        <w:ind w:left="117" w:right="105"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乙方未按照合同约定期限支付本车价款的超过</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日的，甲方有权解除本合同，乙方逾期每日按本车价款总额</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（最高不超过合同总价款的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8"/>
          <w:sz w:val="28"/>
          <w:szCs w:val="28"/>
        </w:rPr>
        <w:t>%）</w:t>
      </w:r>
      <w:r>
        <w:rPr>
          <w:rFonts w:hint="eastAsia" w:ascii="仿宋_GB2312" w:hAnsi="仿宋_GB2312" w:eastAsia="仿宋_GB2312" w:cs="仿宋_GB2312"/>
          <w:color w:val="231F20"/>
          <w:sz w:val="28"/>
          <w:szCs w:val="28"/>
        </w:rPr>
        <w:t>向甲方支付违约金。</w:t>
      </w:r>
    </w:p>
    <w:p w14:paraId="584F0222">
      <w:pPr>
        <w:pStyle w:val="9"/>
        <w:numPr>
          <w:ilvl w:val="0"/>
          <w:numId w:val="5"/>
        </w:numPr>
        <w:tabs>
          <w:tab w:val="left" w:pos="776"/>
        </w:tabs>
        <w:spacing w:before="25" w:after="0" w:line="319" w:lineRule="auto"/>
        <w:ind w:left="117" w:right="213"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因甲方原因致使车辆不能办理过户、转籍手续的，乙方有权解除本合同，要求甲方返还车辆价款并承担相应损失 ; 因乙方原因致使车辆不能办理过户、转籍手续的，甲方有权解除本合同，并要求乙方返还车辆并承担相应损失。</w:t>
      </w:r>
    </w:p>
    <w:p w14:paraId="42347CB5">
      <w:pPr>
        <w:pStyle w:val="9"/>
        <w:numPr>
          <w:ilvl w:val="0"/>
          <w:numId w:val="5"/>
        </w:numPr>
        <w:tabs>
          <w:tab w:val="left" w:pos="776"/>
        </w:tabs>
        <w:spacing w:before="25" w:after="0" w:line="240" w:lineRule="auto"/>
        <w:ind w:left="775"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其他违约责任 :</w:t>
      </w:r>
    </w:p>
    <w:p w14:paraId="0E8F0AE9">
      <w:pPr>
        <w:pStyle w:val="5"/>
        <w:spacing w:before="9"/>
        <w:rPr>
          <w:rFonts w:hint="eastAsia" w:ascii="仿宋_GB2312" w:hAnsi="仿宋_GB2312" w:eastAsia="仿宋_GB2312" w:cs="仿宋_GB2312"/>
          <w:sz w:val="28"/>
          <w:szCs w:val="28"/>
        </w:rPr>
      </w:pPr>
    </w:p>
    <w:p w14:paraId="4ED9A11D">
      <w:pPr>
        <w:pStyle w:val="4"/>
        <w:tabs>
          <w:tab w:val="left" w:pos="4052"/>
        </w:tabs>
        <w:ind w:left="3092" w:right="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第七条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合同争议的解决方式</w:t>
      </w:r>
    </w:p>
    <w:p w14:paraId="4CEA47A9">
      <w:pPr>
        <w:pStyle w:val="5"/>
        <w:spacing w:before="5"/>
        <w:rPr>
          <w:rFonts w:hint="eastAsia" w:ascii="仿宋_GB2312" w:hAnsi="仿宋_GB2312" w:eastAsia="仿宋_GB2312" w:cs="仿宋_GB2312"/>
          <w:sz w:val="28"/>
          <w:szCs w:val="28"/>
        </w:rPr>
      </w:pPr>
    </w:p>
    <w:p w14:paraId="742E982C">
      <w:pPr>
        <w:pStyle w:val="9"/>
        <w:keepNext w:val="0"/>
        <w:keepLines w:val="0"/>
        <w:pageBreakBefore w:val="0"/>
        <w:widowControl w:val="0"/>
        <w:numPr>
          <w:ilvl w:val="0"/>
          <w:numId w:val="0"/>
        </w:numPr>
        <w:tabs>
          <w:tab w:val="left" w:pos="776"/>
          <w:tab w:val="left" w:pos="3344"/>
        </w:tabs>
        <w:kinsoku/>
        <w:wordWrap/>
        <w:overflowPunct/>
        <w:topLinePunct w:val="0"/>
        <w:autoSpaceDE w:val="0"/>
        <w:autoSpaceDN w:val="0"/>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p w14:paraId="4E1B0C1A">
      <w:pPr>
        <w:pStyle w:val="5"/>
        <w:keepNext w:val="0"/>
        <w:keepLines w:val="0"/>
        <w:pageBreakBefore w:val="0"/>
        <w:widowControl w:val="0"/>
        <w:kinsoku/>
        <w:wordWrap/>
        <w:overflowPunct/>
        <w:topLinePunct w:val="0"/>
        <w:autoSpaceDE w:val="0"/>
        <w:autoSpaceDN w:val="0"/>
        <w:bidi w:val="0"/>
        <w:adjustRightInd/>
        <w:snapToGrid/>
        <w:spacing w:before="0"/>
        <w:ind w:left="0" w:firstLine="560" w:firstLineChars="200"/>
        <w:textAlignment w:val="auto"/>
        <w:rPr>
          <w:rFonts w:hint="eastAsia" w:ascii="仿宋_GB2312" w:hAnsi="仿宋_GB2312" w:eastAsia="仿宋_GB2312" w:cs="仿宋_GB2312"/>
          <w:sz w:val="28"/>
          <w:szCs w:val="28"/>
        </w:rPr>
      </w:pPr>
    </w:p>
    <w:p w14:paraId="1FB53C1D">
      <w:pPr>
        <w:pStyle w:val="4"/>
        <w:tabs>
          <w:tab w:val="left" w:pos="959"/>
        </w:tabs>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第八条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合同的生效</w:t>
      </w:r>
    </w:p>
    <w:p w14:paraId="1405905A">
      <w:pPr>
        <w:pStyle w:val="5"/>
        <w:spacing w:before="5"/>
        <w:rPr>
          <w:rFonts w:hint="eastAsia" w:ascii="仿宋_GB2312" w:hAnsi="仿宋_GB2312" w:eastAsia="仿宋_GB2312" w:cs="仿宋_GB2312"/>
          <w:sz w:val="28"/>
          <w:szCs w:val="28"/>
        </w:rPr>
      </w:pPr>
    </w:p>
    <w:p w14:paraId="4BC80A12">
      <w:pPr>
        <w:pStyle w:val="5"/>
        <w:tabs>
          <w:tab w:val="left" w:pos="2862"/>
        </w:tabs>
        <w:ind w:left="557"/>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本合同一式</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份，经双方当事人签字或盖章之日起生效。</w:t>
      </w:r>
    </w:p>
    <w:p w14:paraId="674491B4">
      <w:pPr>
        <w:pStyle w:val="5"/>
        <w:spacing w:before="9"/>
        <w:rPr>
          <w:rFonts w:hint="eastAsia" w:ascii="仿宋_GB2312" w:hAnsi="仿宋_GB2312" w:eastAsia="仿宋_GB2312" w:cs="仿宋_GB2312"/>
          <w:sz w:val="28"/>
          <w:szCs w:val="28"/>
        </w:rPr>
      </w:pPr>
    </w:p>
    <w:p w14:paraId="5C35BA0E">
      <w:pPr>
        <w:pStyle w:val="4"/>
        <w:tabs>
          <w:tab w:val="left" w:pos="4652"/>
        </w:tabs>
        <w:spacing w:before="1"/>
        <w:ind w:left="3692"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31F20"/>
          <w:sz w:val="28"/>
          <w:szCs w:val="28"/>
        </w:rPr>
        <w:t>第九条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sz w:val="28"/>
          <w:szCs w:val="28"/>
          <w:lang w:val="en-US" w:eastAsia="zh-CN"/>
        </w:rPr>
        <w:t>送达方式及送达地址条款</w:t>
      </w:r>
    </w:p>
    <w:p w14:paraId="68080B9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合同签订人所填写的地址信息，将作为通知、信件、律师函、法院文书、仲裁文书等一切书面文件的送达地址。若该地址送达的相关文件无人签收或被拒绝签收，则文件退回之日视为送达之日。</w:t>
      </w:r>
    </w:p>
    <w:p w14:paraId="7F7787F7">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双方确认的送达地址如下：</w:t>
      </w:r>
    </w:p>
    <w:p w14:paraId="1C1C0A31">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甲方地址：</w:t>
      </w:r>
    </w:p>
    <w:p w14:paraId="5700855D">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7A24785F">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68C6407D">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乙方地址：</w:t>
      </w:r>
    </w:p>
    <w:p w14:paraId="6C2015A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675DB867">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188DAA2F">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p>
    <w:p w14:paraId="52EB6BBB">
      <w:pPr>
        <w:pStyle w:val="5"/>
        <w:rPr>
          <w:rFonts w:hint="eastAsia" w:ascii="仿宋_GB2312" w:hAnsi="仿宋_GB2312" w:eastAsia="仿宋_GB2312" w:cs="仿宋_GB2312"/>
          <w:sz w:val="28"/>
          <w:szCs w:val="28"/>
        </w:rPr>
      </w:pPr>
    </w:p>
    <w:p w14:paraId="5A3F1DE5">
      <w:pPr>
        <w:pStyle w:val="9"/>
        <w:numPr>
          <w:numId w:val="0"/>
        </w:numPr>
        <w:tabs>
          <w:tab w:val="left" w:pos="396"/>
        </w:tabs>
        <w:spacing w:before="109" w:after="0" w:line="240" w:lineRule="auto"/>
        <w:ind w:right="0" w:rightChars="0"/>
        <w:jc w:val="left"/>
        <w:rPr>
          <w:rFonts w:hint="eastAsia" w:ascii="仿宋_GB2312" w:hAnsi="仿宋_GB2312" w:eastAsia="仿宋_GB2312" w:cs="仿宋_GB2312"/>
          <w:sz w:val="28"/>
          <w:szCs w:val="28"/>
        </w:rPr>
      </w:pPr>
    </w:p>
    <w:sectPr>
      <w:footerReference r:id="rId5" w:type="default"/>
      <w:footerReference r:id="rId6" w:type="even"/>
      <w:type w:val="continuous"/>
      <w:pgSz w:w="11910" w:h="16840"/>
      <w:pgMar w:top="1580" w:right="1300" w:bottom="102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6CB4">
    <w:pPr>
      <w:pStyle w:val="5"/>
      <w:spacing w:line="14" w:lineRule="auto"/>
      <w:rPr>
        <w:sz w:val="20"/>
      </w:rPr>
    </w:pPr>
    <w:r>
      <w:pict>
        <v:shape id="_x0000_s4097" o:spid="_x0000_s4097" o:spt="202" type="#_x0000_t202" style="position:absolute;left:0pt;margin-left:517.4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94A004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099E">
    <w:pPr>
      <w:pStyle w:val="5"/>
      <w:spacing w:line="14" w:lineRule="auto"/>
      <w:rPr>
        <w:sz w:val="20"/>
      </w:rPr>
    </w:pPr>
    <w:r>
      <w:pict>
        <v:shape id="_x0000_s4098" o:spid="_x0000_s4098" o:spt="202" type="#_x0000_t202" style="position:absolute;left:0pt;margin-left:68.85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AE63F1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1">
    <w:nsid w:val="C8879AEF"/>
    <w:multiLevelType w:val="multilevel"/>
    <w:tmpl w:val="C8879AEF"/>
    <w:lvl w:ilvl="0" w:tentative="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0"/>
      </w:pPr>
      <w:rPr>
        <w:rFonts w:hint="default"/>
      </w:rPr>
    </w:lvl>
    <w:lvl w:ilvl="2" w:tentative="0">
      <w:start w:val="0"/>
      <w:numFmt w:val="bullet"/>
      <w:lvlText w:val="•"/>
      <w:lvlJc w:val="left"/>
      <w:pPr>
        <w:ind w:left="1977" w:hanging="220"/>
      </w:pPr>
      <w:rPr>
        <w:rFonts w:hint="default"/>
      </w:rPr>
    </w:lvl>
    <w:lvl w:ilvl="3" w:tentative="0">
      <w:start w:val="0"/>
      <w:numFmt w:val="bullet"/>
      <w:lvlText w:val="•"/>
      <w:lvlJc w:val="left"/>
      <w:pPr>
        <w:ind w:left="2905" w:hanging="220"/>
      </w:pPr>
      <w:rPr>
        <w:rFonts w:hint="default"/>
      </w:rPr>
    </w:lvl>
    <w:lvl w:ilvl="4" w:tentative="0">
      <w:start w:val="0"/>
      <w:numFmt w:val="bullet"/>
      <w:lvlText w:val="•"/>
      <w:lvlJc w:val="left"/>
      <w:pPr>
        <w:ind w:left="3834" w:hanging="220"/>
      </w:pPr>
      <w:rPr>
        <w:rFonts w:hint="default"/>
      </w:rPr>
    </w:lvl>
    <w:lvl w:ilvl="5" w:tentative="0">
      <w:start w:val="0"/>
      <w:numFmt w:val="bullet"/>
      <w:lvlText w:val="•"/>
      <w:lvlJc w:val="left"/>
      <w:pPr>
        <w:ind w:left="4762" w:hanging="220"/>
      </w:pPr>
      <w:rPr>
        <w:rFonts w:hint="default"/>
      </w:rPr>
    </w:lvl>
    <w:lvl w:ilvl="6" w:tentative="0">
      <w:start w:val="0"/>
      <w:numFmt w:val="bullet"/>
      <w:lvlText w:val="•"/>
      <w:lvlJc w:val="left"/>
      <w:pPr>
        <w:ind w:left="5691" w:hanging="220"/>
      </w:pPr>
      <w:rPr>
        <w:rFonts w:hint="default"/>
      </w:rPr>
    </w:lvl>
    <w:lvl w:ilvl="7" w:tentative="0">
      <w:start w:val="0"/>
      <w:numFmt w:val="bullet"/>
      <w:lvlText w:val="•"/>
      <w:lvlJc w:val="left"/>
      <w:pPr>
        <w:ind w:left="6619" w:hanging="220"/>
      </w:pPr>
      <w:rPr>
        <w:rFonts w:hint="default"/>
      </w:rPr>
    </w:lvl>
    <w:lvl w:ilvl="8" w:tentative="0">
      <w:start w:val="0"/>
      <w:numFmt w:val="bullet"/>
      <w:lvlText w:val="•"/>
      <w:lvlJc w:val="left"/>
      <w:pPr>
        <w:ind w:left="7548" w:hanging="220"/>
      </w:pPr>
      <w:rPr>
        <w:rFonts w:hint="default"/>
      </w:rPr>
    </w:lvl>
  </w:abstractNum>
  <w:abstractNum w:abstractNumId="2">
    <w:nsid w:val="0248C179"/>
    <w:multiLevelType w:val="multilevel"/>
    <w:tmpl w:val="0248C179"/>
    <w:lvl w:ilvl="0" w:tentative="0">
      <w:start w:val="1"/>
      <w:numFmt w:val="decimal"/>
      <w:lvlText w:val="%1."/>
      <w:lvlJc w:val="left"/>
      <w:pPr>
        <w:ind w:left="557" w:hanging="219"/>
        <w:jc w:val="left"/>
      </w:pPr>
      <w:rPr>
        <w:rFonts w:hint="default" w:ascii="方正书宋_GBK" w:hAnsi="方正书宋_GBK" w:eastAsia="方正书宋_GBK" w:cs="方正书宋_GBK"/>
        <w:color w:val="231F20"/>
        <w:spacing w:val="-1"/>
        <w:w w:val="21"/>
        <w:sz w:val="22"/>
        <w:szCs w:val="22"/>
      </w:rPr>
    </w:lvl>
    <w:lvl w:ilvl="1" w:tentative="0">
      <w:start w:val="0"/>
      <w:numFmt w:val="bullet"/>
      <w:lvlText w:val="•"/>
      <w:lvlJc w:val="left"/>
      <w:pPr>
        <w:ind w:left="1444" w:hanging="219"/>
      </w:pPr>
      <w:rPr>
        <w:rFonts w:hint="default"/>
      </w:rPr>
    </w:lvl>
    <w:lvl w:ilvl="2" w:tentative="0">
      <w:start w:val="0"/>
      <w:numFmt w:val="bullet"/>
      <w:lvlText w:val="•"/>
      <w:lvlJc w:val="left"/>
      <w:pPr>
        <w:ind w:left="2329" w:hanging="219"/>
      </w:pPr>
      <w:rPr>
        <w:rFonts w:hint="default"/>
      </w:rPr>
    </w:lvl>
    <w:lvl w:ilvl="3" w:tentative="0">
      <w:start w:val="0"/>
      <w:numFmt w:val="bullet"/>
      <w:lvlText w:val="•"/>
      <w:lvlJc w:val="left"/>
      <w:pPr>
        <w:ind w:left="3213" w:hanging="219"/>
      </w:pPr>
      <w:rPr>
        <w:rFonts w:hint="default"/>
      </w:rPr>
    </w:lvl>
    <w:lvl w:ilvl="4" w:tentative="0">
      <w:start w:val="0"/>
      <w:numFmt w:val="bullet"/>
      <w:lvlText w:val="•"/>
      <w:lvlJc w:val="left"/>
      <w:pPr>
        <w:ind w:left="4098" w:hanging="219"/>
      </w:pPr>
      <w:rPr>
        <w:rFonts w:hint="default"/>
      </w:rPr>
    </w:lvl>
    <w:lvl w:ilvl="5" w:tentative="0">
      <w:start w:val="0"/>
      <w:numFmt w:val="bullet"/>
      <w:lvlText w:val="•"/>
      <w:lvlJc w:val="left"/>
      <w:pPr>
        <w:ind w:left="4982" w:hanging="219"/>
      </w:pPr>
      <w:rPr>
        <w:rFonts w:hint="default"/>
      </w:rPr>
    </w:lvl>
    <w:lvl w:ilvl="6" w:tentative="0">
      <w:start w:val="0"/>
      <w:numFmt w:val="bullet"/>
      <w:lvlText w:val="•"/>
      <w:lvlJc w:val="left"/>
      <w:pPr>
        <w:ind w:left="5867" w:hanging="219"/>
      </w:pPr>
      <w:rPr>
        <w:rFonts w:hint="default"/>
      </w:rPr>
    </w:lvl>
    <w:lvl w:ilvl="7" w:tentative="0">
      <w:start w:val="0"/>
      <w:numFmt w:val="bullet"/>
      <w:lvlText w:val="•"/>
      <w:lvlJc w:val="left"/>
      <w:pPr>
        <w:ind w:left="6751" w:hanging="219"/>
      </w:pPr>
      <w:rPr>
        <w:rFonts w:hint="default"/>
      </w:rPr>
    </w:lvl>
    <w:lvl w:ilvl="8" w:tentative="0">
      <w:start w:val="0"/>
      <w:numFmt w:val="bullet"/>
      <w:lvlText w:val="•"/>
      <w:lvlJc w:val="left"/>
      <w:pPr>
        <w:ind w:left="7636" w:hanging="219"/>
      </w:pPr>
      <w:rPr>
        <w:rFonts w:hint="default"/>
      </w:rPr>
    </w:lvl>
  </w:abstractNum>
  <w:abstractNum w:abstractNumId="3">
    <w:nsid w:val="2A8F537B"/>
    <w:multiLevelType w:val="multilevel"/>
    <w:tmpl w:val="2A8F537B"/>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4">
    <w:nsid w:val="5A241D34"/>
    <w:multiLevelType w:val="multilevel"/>
    <w:tmpl w:val="5A241D34"/>
    <w:lvl w:ilvl="0" w:tentative="0">
      <w:start w:val="1"/>
      <w:numFmt w:val="decimal"/>
      <w:lvlText w:val="%1."/>
      <w:lvlJc w:val="left"/>
      <w:pPr>
        <w:ind w:left="117" w:hanging="221"/>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1"/>
      </w:pPr>
      <w:rPr>
        <w:rFonts w:hint="default"/>
      </w:rPr>
    </w:lvl>
    <w:lvl w:ilvl="2" w:tentative="0">
      <w:start w:val="0"/>
      <w:numFmt w:val="bullet"/>
      <w:lvlText w:val="•"/>
      <w:lvlJc w:val="left"/>
      <w:pPr>
        <w:ind w:left="1977" w:hanging="221"/>
      </w:pPr>
      <w:rPr>
        <w:rFonts w:hint="default"/>
      </w:rPr>
    </w:lvl>
    <w:lvl w:ilvl="3" w:tentative="0">
      <w:start w:val="0"/>
      <w:numFmt w:val="bullet"/>
      <w:lvlText w:val="•"/>
      <w:lvlJc w:val="left"/>
      <w:pPr>
        <w:ind w:left="2905" w:hanging="221"/>
      </w:pPr>
      <w:rPr>
        <w:rFonts w:hint="default"/>
      </w:rPr>
    </w:lvl>
    <w:lvl w:ilvl="4" w:tentative="0">
      <w:start w:val="0"/>
      <w:numFmt w:val="bullet"/>
      <w:lvlText w:val="•"/>
      <w:lvlJc w:val="left"/>
      <w:pPr>
        <w:ind w:left="3834" w:hanging="221"/>
      </w:pPr>
      <w:rPr>
        <w:rFonts w:hint="default"/>
      </w:rPr>
    </w:lvl>
    <w:lvl w:ilvl="5" w:tentative="0">
      <w:start w:val="0"/>
      <w:numFmt w:val="bullet"/>
      <w:lvlText w:val="•"/>
      <w:lvlJc w:val="left"/>
      <w:pPr>
        <w:ind w:left="4762" w:hanging="221"/>
      </w:pPr>
      <w:rPr>
        <w:rFonts w:hint="default"/>
      </w:rPr>
    </w:lvl>
    <w:lvl w:ilvl="6" w:tentative="0">
      <w:start w:val="0"/>
      <w:numFmt w:val="bullet"/>
      <w:lvlText w:val="•"/>
      <w:lvlJc w:val="left"/>
      <w:pPr>
        <w:ind w:left="5691" w:hanging="221"/>
      </w:pPr>
      <w:rPr>
        <w:rFonts w:hint="default"/>
      </w:rPr>
    </w:lvl>
    <w:lvl w:ilvl="7" w:tentative="0">
      <w:start w:val="0"/>
      <w:numFmt w:val="bullet"/>
      <w:lvlText w:val="•"/>
      <w:lvlJc w:val="left"/>
      <w:pPr>
        <w:ind w:left="6619" w:hanging="221"/>
      </w:pPr>
      <w:rPr>
        <w:rFonts w:hint="default"/>
      </w:rPr>
    </w:lvl>
    <w:lvl w:ilvl="8" w:tentative="0">
      <w:start w:val="0"/>
      <w:numFmt w:val="bullet"/>
      <w:lvlText w:val="•"/>
      <w:lvlJc w:val="left"/>
      <w:pPr>
        <w:ind w:left="7548" w:hanging="221"/>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GY1OTlmOTQ5MmM5YTQ3NTA1YjVlYTNiMTg2MGE5M2IifQ=="/>
  </w:docVars>
  <w:rsids>
    <w:rsidRoot w:val="00000000"/>
    <w:rsid w:val="06A83220"/>
    <w:rsid w:val="08A13C26"/>
    <w:rsid w:val="13F310AE"/>
    <w:rsid w:val="22C500B9"/>
    <w:rsid w:val="26591245"/>
    <w:rsid w:val="2734580E"/>
    <w:rsid w:val="31EF0CAF"/>
    <w:rsid w:val="39094D4C"/>
    <w:rsid w:val="396E270C"/>
    <w:rsid w:val="47F95486"/>
    <w:rsid w:val="48335942"/>
    <w:rsid w:val="4F806F93"/>
    <w:rsid w:val="5F992284"/>
    <w:rsid w:val="61587F5F"/>
    <w:rsid w:val="699851AD"/>
    <w:rsid w:val="7BA614C8"/>
    <w:rsid w:val="7E380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1"/>
      <w:ind w:left="2955" w:right="2955"/>
      <w:jc w:val="center"/>
      <w:outlineLvl w:val="1"/>
    </w:pPr>
    <w:rPr>
      <w:rFonts w:ascii="方正楷体_GBK" w:hAnsi="方正楷体_GBK" w:eastAsia="方正楷体_GBK" w:cs="方正楷体_GBK"/>
      <w:sz w:val="28"/>
      <w:szCs w:val="28"/>
    </w:rPr>
  </w:style>
  <w:style w:type="paragraph" w:styleId="3">
    <w:name w:val="heading 2"/>
    <w:basedOn w:val="1"/>
    <w:qFormat/>
    <w:uiPriority w:val="1"/>
    <w:pPr>
      <w:ind w:left="177"/>
      <w:outlineLvl w:val="2"/>
    </w:pPr>
    <w:rPr>
      <w:rFonts w:ascii="方正黑体_GBK" w:hAnsi="方正黑体_GBK" w:eastAsia="方正黑体_GBK" w:cs="方正黑体_GBK"/>
      <w:sz w:val="26"/>
      <w:szCs w:val="26"/>
    </w:rPr>
  </w:style>
  <w:style w:type="paragraph" w:styleId="4">
    <w:name w:val="heading 3"/>
    <w:basedOn w:val="1"/>
    <w:qFormat/>
    <w:uiPriority w:val="1"/>
    <w:pPr>
      <w:ind w:right="98"/>
      <w:jc w:val="center"/>
      <w:outlineLvl w:val="3"/>
    </w:pPr>
    <w:rPr>
      <w:rFonts w:ascii="方正黑体_GBK" w:hAnsi="方正黑体_GBK" w:eastAsia="方正黑体_GBK" w:cs="方正黑体_GBK"/>
      <w:sz w:val="24"/>
      <w:szCs w:val="2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书宋_GBK" w:hAnsi="方正书宋_GBK" w:eastAsia="方正书宋_GBK" w:cs="方正书宋_GBK"/>
      <w:sz w:val="22"/>
      <w:szCs w:val="2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9"/>
      <w:ind w:left="117" w:hanging="218"/>
    </w:pPr>
    <w:rPr>
      <w:rFonts w:ascii="方正书宋_GBK" w:hAnsi="方正书宋_GBK" w:eastAsia="方正书宋_GBK" w:cs="方正书宋_GBK"/>
    </w:rPr>
  </w:style>
  <w:style w:type="paragraph" w:customStyle="1" w:styleId="10">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2255</Words>
  <Characters>2278</Characters>
  <TotalTime>1</TotalTime>
  <ScaleCrop>false</ScaleCrop>
  <LinksUpToDate>false</LinksUpToDate>
  <CharactersWithSpaces>2570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2025-02-10T05:57:02Z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F33C6C928373475194D5906A85D394BE_12</vt:lpwstr>
  </property>
  <property fmtid="{D5CDD505-2E9C-101B-9397-08002B2CF9AE}" pid="7" name="KSOTemplateDocerSaveRecord">
    <vt:lpwstr>eyJoZGlkIjoiY2I1NWQ5MWJlMzAwM2E2Zjk2NzdlMThkNGMzNDE4MjgiLCJ1c2VySWQiOiIyNDE0NzM0NTUifQ==</vt:lpwstr>
  </property>
</Properties>
</file>