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绵阳仲裁委员会</w:t>
      </w:r>
    </w:p>
    <w:p>
      <w:pPr>
        <w:keepNext w:val="0"/>
        <w:keepLines w:val="0"/>
        <w:pageBreakBefore w:val="0"/>
        <w:widowControl w:val="0"/>
        <w:kinsoku/>
        <w:wordWrap/>
        <w:overflowPunct/>
        <w:topLinePunct w:val="0"/>
        <w:autoSpaceDE/>
        <w:autoSpaceDN/>
        <w:bidi w:val="0"/>
        <w:adjustRightInd/>
        <w:snapToGrid/>
        <w:spacing w:beforeLines="0"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w:t>
      </w:r>
      <w:r>
        <w:rPr>
          <w:rFonts w:hint="default" w:ascii="方正小标宋简体" w:hAnsi="方正小标宋简体" w:eastAsia="方正小标宋简体" w:cs="方正小标宋简体"/>
          <w:sz w:val="44"/>
          <w:szCs w:val="44"/>
          <w:lang w:val="en-US" w:eastAsia="zh-CN"/>
        </w:rPr>
        <w:t>年工作总结</w:t>
      </w:r>
      <w:r>
        <w:rPr>
          <w:rFonts w:hint="eastAsia" w:ascii="方正小标宋简体" w:hAnsi="方正小标宋简体" w:eastAsia="方正小标宋简体" w:cs="方正小标宋简体"/>
          <w:sz w:val="44"/>
          <w:szCs w:val="44"/>
          <w:lang w:val="en-US" w:eastAsia="zh-CN"/>
        </w:rPr>
        <w:t>及2025年工作要点</w:t>
      </w:r>
    </w:p>
    <w:p>
      <w:pPr>
        <w:keepNext w:val="0"/>
        <w:keepLines w:val="0"/>
        <w:pageBreakBefore w:val="0"/>
        <w:widowControl w:val="0"/>
        <w:kinsoku/>
        <w:wordWrap/>
        <w:overflowPunct/>
        <w:topLinePunct w:val="0"/>
        <w:autoSpaceDE/>
        <w:autoSpaceDN/>
        <w:bidi w:val="0"/>
        <w:adjustRightInd/>
        <w:snapToGrid/>
        <w:spacing w:beforeLines="0"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left"/>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2024年，绵阳仲裁委员会全面贯彻落实党的二十大精神，坚持稳中求进工作总基调，把握重点，扎实开展仲裁业务，积极服务和融入新发展格局，为加快发展新质生产力提供法治保障，全面推动各项工作高质量发展。现将2024年工作开展情况及2025年工作要点汇报如下：</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黑体" w:hAnsi="黑体" w:eastAsia="黑体" w:cs="黑体"/>
          <w:i w:val="0"/>
          <w:caps w:val="0"/>
          <w:color w:val="auto"/>
          <w:spacing w:val="0"/>
          <w:kern w:val="2"/>
          <w:sz w:val="32"/>
          <w:szCs w:val="32"/>
          <w:highlight w:val="none"/>
          <w:shd w:val="clear" w:color="auto" w:fill="auto"/>
          <w:lang w:val="en-US" w:eastAsia="zh-CN" w:bidi="ar-SA"/>
        </w:rPr>
      </w:pPr>
      <w:r>
        <w:rPr>
          <w:rFonts w:hint="eastAsia" w:ascii="黑体" w:hAnsi="黑体" w:eastAsia="黑体" w:cs="黑体"/>
          <w:i w:val="0"/>
          <w:caps w:val="0"/>
          <w:color w:val="auto"/>
          <w:spacing w:val="0"/>
          <w:kern w:val="2"/>
          <w:sz w:val="32"/>
          <w:szCs w:val="32"/>
          <w:highlight w:val="none"/>
          <w:shd w:val="clear" w:color="auto" w:fill="auto"/>
          <w:lang w:val="en-US" w:eastAsia="zh-CN" w:bidi="ar-SA"/>
        </w:rPr>
        <w:t>一、2024年各项工作进展顺利</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楷体_GB2312" w:hAnsi="楷体_GB2312" w:eastAsia="楷体_GB2312" w:cs="楷体_GB2312"/>
          <w:b/>
          <w:bCs/>
          <w:i w:val="0"/>
          <w:caps w:val="0"/>
          <w:color w:val="auto"/>
          <w:spacing w:val="0"/>
          <w:kern w:val="2"/>
          <w:sz w:val="32"/>
          <w:szCs w:val="32"/>
          <w:highlight w:val="none"/>
          <w:shd w:val="clear" w:color="auto" w:fill="auto"/>
          <w:lang w:val="en-US" w:eastAsia="zh-CN" w:bidi="ar-SA"/>
        </w:rPr>
      </w:pPr>
      <w:r>
        <w:rPr>
          <w:rFonts w:hint="eastAsia"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t>（一）把稳仲裁事业发展方向，党建融合业务取得新发展</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绵阳仲裁委深入学习贯彻习近平总书记对四川工作系列重要指示精神，全面落实党中央大政方针和省委决策部署，扎实开展学习贯彻习近平新时代中国特色社会主义思想主题教育和党纪学习教育，坚持将党的领导和全面从严治党贯穿到仲裁业务工作的始终。完整准确全面贯彻新发展理念，坚持稳中求进工作总基调，上下一心把思想和行动统一到党中央和省委决策部署上来，以加快建设中国科技城、全力打造成渝副中心及深入实施“五市战略”为目标，扎实做好仲裁制度宣传工作，发挥仲裁制度优势，加强法治建设，充分发挥仲裁对经济的服务职能，保障区域经济战略实施，优化营商法治环境，主动服务中心工作，助力绵阳市经济高质量发展，为全面建设社会主义现代化四川注入强劲动能。同时更加注重系统集成，更加注重突出重点，更加注重制度实效，推出更多具有绵阳仲裁委员会特色的原创性差异化举措，完善有利于推动高质量发展的体制机制。</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default"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pPr>
      <w:r>
        <w:rPr>
          <w:rFonts w:hint="default"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t>（</w:t>
      </w:r>
      <w:r>
        <w:rPr>
          <w:rFonts w:hint="eastAsia"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t>二）顺利换届迈入发展新时期</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第四届绵阳仲裁委员会于2017年9月18日成立，五年任期届满。根据《中华人民共和国仲裁法》的规定，绵阳仲裁委员会圆满完成换届工作，进一步完善了仲裁委员会法人治理机制。2024年1月3日举行第五届绵阳仲裁委员会第一次全体会议，会议审议通过《第五届绵阳仲裁委员会聘任仲裁员名单》《关于设立金融仲裁院的方案》《绵阳仲裁委员会收费制度改革方案》等重要事项。2024年1月30日至31日，开展了为期两天的第五届绵阳仲裁委员会仲裁员培训，共计240余人到场参加，100余名仲裁员线上参加，在线观看培训课程直播人数达5000余人次，培训规模、参训人数创历史之最，标志着第五届绵阳仲裁委员会正式履职。</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default"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pPr>
      <w:r>
        <w:rPr>
          <w:rFonts w:hint="default"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t>（</w:t>
      </w:r>
      <w:r>
        <w:rPr>
          <w:rFonts w:hint="eastAsia"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t>三</w:t>
      </w:r>
      <w:r>
        <w:rPr>
          <w:rFonts w:hint="default"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t>）仲裁质效管理取得新成就</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绵阳仲裁委以办案为中心，充分发挥仲裁的特色和优势，持续优化案件管理程序，全力抓质效，业务规模的显著增加，案件质量效率稳步提升。2024年，绵阳仲裁委累计受理仲裁案件586件，案件标的额高达16.24亿元，受理案件数量同比增长69.36%；结案时长明显缩减，适用简易程序的案件自组庭至结案平均用时37.74天，适用普通程序的案件自组庭至结案平均用时59.75天，有力证明了社会各界对绵阳仲裁委仲裁服务的高度认可以及绵阳仲裁委在处理各类经济纠纷中的专业、高效。</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default"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pPr>
      <w:r>
        <w:rPr>
          <w:rFonts w:hint="default"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t>（</w:t>
      </w:r>
      <w:r>
        <w:rPr>
          <w:rFonts w:hint="eastAsia"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t>四</w:t>
      </w:r>
      <w:r>
        <w:rPr>
          <w:rFonts w:hint="default"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t>）</w:t>
      </w:r>
      <w:r>
        <w:rPr>
          <w:rFonts w:hint="eastAsia"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t>机构及队伍建设迈上新台阶</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一是金融仲裁院正式挂牌成立，致力于预防和化解金融风险，充分发挥仲裁对金融的服务保障职能，服务保障区域金融战略实施，绵仲机构建设更加完善。与省公共法律服务厅共同完成“金融纠纷治理法治化路径研究——以S省金融仲裁为例”业务课题调研，获四川司法行政系统2024年度优秀业务调研课题。二是积极落实与市场监管局联合发文《加强知识产权保护领域仲裁工作的意见》，参加市市场监管局组织的知识产权相关会议，为绵阳创建知识产权示范市以及绵阳市国家知识产权服务业高质量聚集发展试验区的建设提出法律专业意见。三是完善信息化建设，启用新的办案系统、上线网上仲裁服务窗口、全面启用电子送达方式。四是践行人才核心战略，致力锻造高素质、专业化仲裁员队伍。安排仲裁员“线下”集中学习4次，自愿“线上”学习2次。选派骨干仲裁员先后参加司法部和最高人民法院共同举办的首期仲裁员与司法审查法官同堂培训班、司法部举办的全国涉外仲裁人才培训班。组织开展司法审查及鉴定实务培训等的仲裁员专项法律培训活动2次，并与法院、检察院、律师事务所、企业法律相关负责人员开展主题研讨沙龙2次。五是深化人才发展体制机制改革，完善人才培养、使用、评价、服务、支持、激励全链条体制机制，推进仲裁秘书职业化建设创新改革先行区建设。全年累计组织秘书参与大型业务培训4次，组织召开仲裁室业务会16次，并分批指派秘书前往上海、厦门、武汉、福州等地学习交流20余人次。出台《绵阳仲裁委员会秘书处关于仲裁秘书岗位职级管理试行办法》，探索建立仲裁秘书岗位职级管理制度，推行仲裁秘书岗位职级与薪酬待遇挂钩制度，健全仲裁秘书激励保障机制，为进一步建设忠诚干净担当的高素质专业化仲裁秘书队伍夯实基础。</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default"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pPr>
      <w:r>
        <w:rPr>
          <w:rFonts w:hint="default"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t>（</w:t>
      </w:r>
      <w:r>
        <w:rPr>
          <w:rFonts w:hint="eastAsia"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t>五</w:t>
      </w:r>
      <w:r>
        <w:rPr>
          <w:rFonts w:hint="default"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t>）</w:t>
      </w:r>
      <w:r>
        <w:rPr>
          <w:rFonts w:hint="eastAsia"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t>营商环境优化取得新成绩</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绵阳仲裁委聚焦绵阳市进一步全面深化改革及深化经济体制改革发展目标，优化民营经济发展环境，健全民营企业全方位服务体系，擦亮“公正、独立、高效、专业”绵仲品牌，主动延伸服务触角。2024年，绵阳仲裁委积极构建“仲裁+”多元化纠纷解决机制，并取得丰硕成果。全年成功立案前调解案件12件，仲调对接案件19件，仲裁中调解61件，调解案件总数达92件。调解案件涉及标的额2.8亿元，有效避免了大量纠纷进入繁琐的审理程序；联合绵阳中院、宜宾市叙州区法院开展2次“诉仲对接”交流活动。</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秉承服务和优化营商环境、护航企业发展的服务理念，绵阳仲裁委广泛开展交流合作，助力经济高质量发展。4月与市市场监管局、市委军民融合办联合举办“仲裁协同·构建多元化知识产权保护机制”活动，加快构建知识产权保护新格局。5月与四川天府“一带一路”商事调解中心共建“一带一路”纠纷解决机制，护航“一带一路”高质量发展。7月与绵阳市律师协会等联合主办“新《公司法》高级研修班”活动。10月14日与绵阳市人民检察院联合发布《关于建立防范和打击以虚假仲裁申请骗取仲裁裁决协作机制》，加强防范虚假仲裁。10月24日联合绵阳市劳动人事争议仲裁院共同搭建“商事仲裁+劳动仲裁”联动服务机制，努力推动仲裁工作高质量发展。</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完善城乡融合发展体制机制，加大绵阳郊县仲裁宣传及普及力度，9月与绵阳市律师协会在绵阳市三台县举办了“构建多元解纷渠道，为区域法治化营商环境保驾护航”专题活动，健全推进新型城镇化法治新环境。</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pPr>
      <w:r>
        <w:rPr>
          <w:rFonts w:hint="eastAsia"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t>（六）品牌及公信力建设取得新进展</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绵阳仲裁委践行请进来、走出去的工作理念，做靓“绵仲出川”“绵仲出海”品牌，公信力得到进一步彰显。2024年度接待省内其他市司法局、仲裁机构到访4次，就绵仲发展情况、业务开展情况以及部分创新举措等进行了经验分享交流，为其他仲裁机构开展业务工作提供参考。2024年8月，绵阳仲裁委作为内地中小型仲裁机构代表应邀参加《中华人民共和国仲裁法》颁布30周年论坛，与国内仲裁界优秀机构汇聚一堂，绵阳仲裁委员会的发展速度和规模受到行业的赞许。2024年9月，中国仲裁周活动绵阳专场活动再次成功举办，绵阳仲裁委作为仲裁周绵阳专场的主办单位之一，充分展示了全链条、一站式、专业化商事法律服务理念，获得各界一致好评。</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黑体" w:hAnsi="黑体" w:eastAsia="黑体" w:cs="黑体"/>
          <w:i w:val="0"/>
          <w:caps w:val="0"/>
          <w:color w:val="auto"/>
          <w:spacing w:val="0"/>
          <w:kern w:val="2"/>
          <w:sz w:val="32"/>
          <w:szCs w:val="32"/>
          <w:highlight w:val="none"/>
          <w:shd w:val="clear" w:color="auto" w:fill="auto"/>
          <w:lang w:val="en-US" w:eastAsia="zh-CN" w:bidi="ar-SA"/>
        </w:rPr>
      </w:pPr>
      <w:r>
        <w:rPr>
          <w:rFonts w:hint="eastAsia" w:ascii="黑体" w:hAnsi="黑体" w:eastAsia="黑体" w:cs="黑体"/>
          <w:i w:val="0"/>
          <w:caps w:val="0"/>
          <w:color w:val="auto"/>
          <w:spacing w:val="0"/>
          <w:kern w:val="2"/>
          <w:sz w:val="32"/>
          <w:szCs w:val="32"/>
          <w:highlight w:val="none"/>
          <w:shd w:val="clear" w:color="auto" w:fill="auto"/>
          <w:lang w:val="en-US" w:eastAsia="zh-CN" w:bidi="ar-SA"/>
        </w:rPr>
        <w:t>二、面临的困难及2025年度工作要点</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楷体_GB2312" w:cs="Times New Roman"/>
          <w:b w:val="0"/>
          <w:bCs w:val="0"/>
          <w:snapToGrid w:val="0"/>
          <w:color w:val="auto"/>
          <w:kern w:val="0"/>
          <w:sz w:val="32"/>
          <w:szCs w:val="32"/>
          <w:highlight w:val="none"/>
          <w:u w:val="none"/>
          <w:lang w:val="en-US" w:eastAsia="zh-CN"/>
        </w:rPr>
      </w:pPr>
      <w:r>
        <w:rPr>
          <w:rFonts w:hint="eastAsia" w:ascii="Times New Roman" w:hAnsi="Times New Roman" w:eastAsia="楷体_GB2312" w:cs="Times New Roman"/>
          <w:b w:val="0"/>
          <w:bCs w:val="0"/>
          <w:snapToGrid w:val="0"/>
          <w:color w:val="auto"/>
          <w:kern w:val="0"/>
          <w:sz w:val="32"/>
          <w:szCs w:val="32"/>
          <w:highlight w:val="none"/>
          <w:u w:val="none"/>
          <w:lang w:val="en-US" w:eastAsia="zh-CN"/>
        </w:rPr>
        <w:t>（一）当前面临的困难</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b/>
          <w:bCs/>
          <w:i w:val="0"/>
          <w:caps w:val="0"/>
          <w:color w:val="auto"/>
          <w:spacing w:val="0"/>
          <w:kern w:val="2"/>
          <w:sz w:val="32"/>
          <w:szCs w:val="32"/>
          <w:highlight w:val="none"/>
          <w:shd w:val="clear" w:color="auto" w:fill="auto"/>
          <w:lang w:val="en-US" w:eastAsia="zh-CN" w:bidi="ar-SA"/>
        </w:rPr>
        <w:t>一是收费制度已经成为制约绵阳仲裁发展的重要因素。</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为了发挥仲裁在解决金融纠纷中简便快捷、优质高效的优势，促进金融纠纷处置的“提速增效”，减少公民、法人和其他组织处置金融纠纷的成本，保障市场经济健康有序运行，绵阳仲裁委员会秘书处草拟了《</w:t>
      </w: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bidi="ar-SA"/>
        </w:rPr>
        <w:t>绵阳仲裁委员会金融仲裁规则</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w:t>
      </w: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bidi="ar-SA"/>
        </w:rPr>
        <w:t>绵阳仲</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裁委员会互联网仲裁规则》《绵阳仲裁委员会金融仲裁收费标准》《绵阳仲裁委员会互联网仲裁收费标准》，分别征求财政、发改、审计和金融监管部门意见。相关部门认为绵阳仲裁委的收费属于行政事业性收费，拟制定的收费标准擅自改变</w:t>
      </w: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bidi="ar-SA"/>
        </w:rPr>
        <w:t>国办发〔1995</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w:t>
      </w: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bidi="ar-SA"/>
        </w:rPr>
        <w:t>44</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号确定的收费标准，违反“不得违法改变非税收入项目征收标准或者擅自调整非税收入项目征收范围”的规定，根据《四川省非税收入征收管理条例》第十五条的规定，只有省政府及省级财政、发展改革部门才能调整收费标准。目前，金融仲裁的发展处于停滞阶段。</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b/>
          <w:bCs/>
          <w:i w:val="0"/>
          <w:caps w:val="0"/>
          <w:color w:val="auto"/>
          <w:spacing w:val="0"/>
          <w:kern w:val="2"/>
          <w:sz w:val="32"/>
          <w:szCs w:val="32"/>
          <w:highlight w:val="none"/>
          <w:shd w:val="clear" w:color="auto" w:fill="auto"/>
          <w:lang w:val="en-US" w:eastAsia="zh-CN" w:bidi="ar-SA"/>
        </w:rPr>
        <w:t>二是绵阳仲裁委办公用房问题。</w:t>
      </w: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bidi="ar-SA"/>
        </w:rPr>
        <w:t>绵阳仲裁委办公用房一直为租赁形式，由于长期租金开支较高且缺乏稳定性，</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不利于提高社会认知度和公信力，</w:t>
      </w:r>
      <w:r>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bidi="ar-SA"/>
        </w:rPr>
        <w:t>办公场所因素成为禁锢绵阳仲裁业务快速发展的关键因素之一。从绵阳仲裁委未来20年的发展规划、受案数量、涉案金额及工作人员规模出发，</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绵阳仲裁委拟购置自有办公用房，受收费体制机制及财务制度的限制，购置自有办公场所事项尚未得到突破性进展。目前，秘书处正向相关部门提出正式报告，请求仲裁委办公区整体进驻即将建设完成的绵阳科技城新区法务中心，彻底整合资源，形成律师、公证、仲裁和公共法律服务一体化的法律资源互补，在绵阳科技城新区尽快形成诉讼、调解、仲裁共同发力的多元化解矛盾机制，既为仲裁业务扩容，为绵阳仲裁公信力提升方面集中发力，也为中国（绵阳）科技城建设、成渝副中心建设和科技创新引领示范区建设的未来发展形成坚强的法治保障。</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b/>
          <w:bCs/>
          <w:i w:val="0"/>
          <w:caps w:val="0"/>
          <w:color w:val="auto"/>
          <w:spacing w:val="0"/>
          <w:kern w:val="2"/>
          <w:sz w:val="32"/>
          <w:szCs w:val="32"/>
          <w:highlight w:val="none"/>
          <w:shd w:val="clear" w:color="auto" w:fill="auto"/>
          <w:lang w:val="en-US" w:eastAsia="zh-CN" w:bidi="ar-SA"/>
        </w:rPr>
        <w:t>三是虚假仲裁监督机制建立问题。</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绵阳仲裁委虽然于2024年10月14日和四川省绵阳市人民检察院联合会签文件《关于建立防范和打击骗取仲裁裁决行为协作机制的意见》，但目前我国法律对虚假仲裁规定不明晰的情况下，该意见最终未对外进行宣传。建议在仲裁法修订过程中，添加虚假意思骗取仲裁裁决（调解）的程序路径，规定案件审理过程中的线索和证据材料移送机制以及仲裁裁决生效后的救济，达到阻却通过虚假仲裁实现利益的目的，维护市场经济秩序和社会安全稳定。</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pPr>
      <w:r>
        <w:rPr>
          <w:rFonts w:hint="eastAsia" w:ascii="楷体_GB2312" w:hAnsi="楷体_GB2312" w:eastAsia="楷体_GB2312" w:cs="楷体_GB2312"/>
          <w:b w:val="0"/>
          <w:bCs w:val="0"/>
          <w:i w:val="0"/>
          <w:caps w:val="0"/>
          <w:color w:val="auto"/>
          <w:spacing w:val="0"/>
          <w:kern w:val="2"/>
          <w:sz w:val="32"/>
          <w:szCs w:val="32"/>
          <w:highlight w:val="none"/>
          <w:shd w:val="clear" w:color="auto" w:fill="auto"/>
          <w:lang w:val="en-US" w:eastAsia="zh-CN" w:bidi="ar-SA"/>
        </w:rPr>
        <w:t>（二）2025年工作要点</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2025年，围绕全市中心大局、服务保障民营经济健康发展、优化营商环境工作部署，立足仲裁职能，夯实仲裁工作基础，提升仲裁工作质效。工作重点做好以下几个方面：</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b/>
          <w:bCs/>
          <w:i w:val="0"/>
          <w:caps w:val="0"/>
          <w:color w:val="auto"/>
          <w:spacing w:val="0"/>
          <w:kern w:val="2"/>
          <w:sz w:val="32"/>
          <w:szCs w:val="32"/>
          <w:highlight w:val="none"/>
          <w:shd w:val="clear" w:color="auto" w:fill="auto"/>
          <w:lang w:val="en-US" w:eastAsia="zh-CN" w:bidi="ar-SA"/>
        </w:rPr>
        <w:t>一是夯实仲裁基础，提供高质量仲裁服务。</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持续推动体制改革，改革完善内部治理结构。强化仲裁员和秘书队伍建设，为事业发展提供坚强人才保障，加强秘书人员职业操守和行为规范，切实打造高素质专业化秘书队伍。强化仲裁理论与实务研究，发挥新规则先进制度优势。</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b/>
          <w:bCs/>
          <w:i w:val="0"/>
          <w:caps w:val="0"/>
          <w:color w:val="auto"/>
          <w:spacing w:val="0"/>
          <w:kern w:val="2"/>
          <w:sz w:val="32"/>
          <w:szCs w:val="32"/>
          <w:highlight w:val="none"/>
          <w:shd w:val="clear" w:color="auto" w:fill="auto"/>
          <w:lang w:val="en-US" w:eastAsia="zh-CN" w:bidi="ar-SA"/>
        </w:rPr>
        <w:t>二是加大宣传力度，打造仲裁服务新高地。</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针对金融、房地产、建设工程、知识产权等重点行业领域，着力加大宣传推广仲裁法律制度的力度和深度。坚持立足绵阳、拓展周边、面向四川、走向全国的发展道路，致力于建设区域性商事纠纷解决中心。坚持多措并举多点发力，加强与各协会及机构的联系与合作，助推更高水平新格局建设，高质量高标准服务各行业。</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b/>
          <w:bCs/>
          <w:i w:val="0"/>
          <w:caps w:val="0"/>
          <w:color w:val="auto"/>
          <w:spacing w:val="0"/>
          <w:kern w:val="2"/>
          <w:sz w:val="32"/>
          <w:szCs w:val="32"/>
          <w:highlight w:val="none"/>
          <w:shd w:val="clear" w:color="auto" w:fill="auto"/>
          <w:lang w:val="en-US" w:eastAsia="zh-CN" w:bidi="ar-SA"/>
        </w:rPr>
        <w:t>三是完善法人治理机制，提高机构管理自主权。</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在坚持仲裁公益性、确保资产不流失的前提下，积极推进绵阳仲裁委员会在财务、人员、薪酬和绩效、事业发展等方面的改革探索，建立适合本会自身发展特点的各项人财物管理制度。</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b/>
          <w:bCs/>
          <w:i w:val="0"/>
          <w:caps w:val="0"/>
          <w:color w:val="auto"/>
          <w:spacing w:val="0"/>
          <w:kern w:val="2"/>
          <w:sz w:val="32"/>
          <w:szCs w:val="32"/>
          <w:highlight w:val="none"/>
          <w:shd w:val="clear" w:color="auto" w:fill="auto"/>
          <w:lang w:val="en-US" w:eastAsia="zh-CN" w:bidi="ar-SA"/>
        </w:rPr>
        <w:t>四是强化监督管理和风险防控，铸就仲裁公信力。</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加强仲裁员队伍监督管理，强化执纪问责，确保廉洁公正依法办案，筑牢机构公信力。加强机构全面风险防范，强化细化各项制度建设，持之以恒正风肃纪，不断提高工作治理效能。</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b/>
          <w:bCs/>
          <w:i w:val="0"/>
          <w:caps w:val="0"/>
          <w:color w:val="auto"/>
          <w:spacing w:val="0"/>
          <w:kern w:val="2"/>
          <w:sz w:val="32"/>
          <w:szCs w:val="32"/>
          <w:highlight w:val="none"/>
          <w:shd w:val="clear" w:color="auto" w:fill="auto"/>
          <w:lang w:val="en-US" w:eastAsia="zh-CN" w:bidi="ar-SA"/>
        </w:rPr>
        <w:t>五是攻坚克难，打破瓶颈障碍。</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积极争取政府各部门的支持，在收费制度改革上取得突破性进展。从绵阳仲裁委未来20年发展的角度，综合考虑仲裁委办公区用房问题，争取市政府同意绵阳仲裁委入驻绵阳科技城新区法务中心，以成本价从政府平台公司购买符合未来发展规划的办公面积。</w:t>
      </w: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p>
    <w:p>
      <w:pPr>
        <w:keepNext w:val="0"/>
        <w:keepLines w:val="0"/>
        <w:pageBreakBefore w:val="0"/>
        <w:widowControl w:val="0"/>
        <w:kinsoku/>
        <w:wordWrap/>
        <w:overflowPunct w:val="0"/>
        <w:topLinePunct/>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 xml:space="preserve">                    </w:t>
      </w:r>
      <w:r>
        <w:rPr>
          <w:rFonts w:hint="eastAsia" w:ascii="Times New Roman" w:hAnsi="Times New Roman" w:cs="Times New Roman"/>
          <w:i w:val="0"/>
          <w:caps w:val="0"/>
          <w:color w:val="auto"/>
          <w:spacing w:val="0"/>
          <w:kern w:val="2"/>
          <w:sz w:val="32"/>
          <w:szCs w:val="32"/>
          <w:highlight w:val="none"/>
          <w:shd w:val="clear" w:color="auto" w:fill="auto"/>
          <w:lang w:val="en-US" w:eastAsia="zh-CN" w:bidi="ar-SA"/>
        </w:rPr>
        <w:t xml:space="preserve">         </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 xml:space="preserve"> 绵阳仲裁委员会</w:t>
      </w:r>
    </w:p>
    <w:p>
      <w:pPr>
        <w:keepNext w:val="0"/>
        <w:keepLines w:val="0"/>
        <w:pageBreakBefore w:val="0"/>
        <w:widowControl w:val="0"/>
        <w:kinsoku/>
        <w:wordWrap/>
        <w:overflowPunct w:val="0"/>
        <w:topLinePunct/>
        <w:autoSpaceDE/>
        <w:autoSpaceDN/>
        <w:bidi w:val="0"/>
        <w:adjustRightInd/>
        <w:snapToGrid/>
        <w:spacing w:line="580" w:lineRule="exact"/>
        <w:ind w:firstLine="5372" w:firstLineChars="1700"/>
        <w:jc w:val="both"/>
        <w:textAlignment w:val="auto"/>
        <w:outlineLvl w:val="9"/>
        <w:rPr>
          <w:rFonts w:hint="default" w:ascii="Times New Roman" w:hAnsi="Times New Roman" w:eastAsia="仿宋_GB2312" w:cs="Times New Roman"/>
          <w:i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2025年1月</w:t>
      </w:r>
      <w:r>
        <w:rPr>
          <w:rFonts w:hint="eastAsia" w:ascii="Times New Roman" w:hAnsi="Times New Roman" w:cs="Times New Roman"/>
          <w:i w:val="0"/>
          <w:caps w:val="0"/>
          <w:color w:val="auto"/>
          <w:spacing w:val="0"/>
          <w:kern w:val="2"/>
          <w:sz w:val="32"/>
          <w:szCs w:val="32"/>
          <w:highlight w:val="none"/>
          <w:shd w:val="clear" w:color="auto" w:fill="auto"/>
          <w:lang w:val="en-US" w:eastAsia="zh-CN" w:bidi="ar-SA"/>
        </w:rPr>
        <w:t>10</w:t>
      </w:r>
      <w:r>
        <w:rPr>
          <w:rFonts w:hint="eastAsia" w:ascii="Times New Roman" w:hAnsi="Times New Roman" w:eastAsia="仿宋_GB2312" w:cs="Times New Roman"/>
          <w:i w:val="0"/>
          <w:caps w:val="0"/>
          <w:color w:val="auto"/>
          <w:spacing w:val="0"/>
          <w:kern w:val="2"/>
          <w:sz w:val="32"/>
          <w:szCs w:val="32"/>
          <w:highlight w:val="none"/>
          <w:shd w:val="clear" w:color="auto" w:fill="auto"/>
          <w:lang w:val="en-US" w:eastAsia="zh-CN" w:bidi="ar-SA"/>
        </w:rPr>
        <w:t>日</w:t>
      </w:r>
    </w:p>
    <w:p>
      <w:pPr>
        <w:pStyle w:val="6"/>
        <w:ind w:left="0" w:leftChars="0" w:firstLine="0" w:firstLineChars="0"/>
        <w:rPr>
          <w:rFonts w:hint="eastAsia" w:ascii="仿宋_GB2312" w:hAnsi="仿宋_GB2312" w:eastAsia="仿宋_GB2312" w:cs="仿宋_GB2312"/>
          <w:color w:val="auto"/>
          <w:kern w:val="0"/>
          <w:lang w:eastAsia="zh-CN"/>
        </w:rPr>
      </w:pPr>
    </w:p>
    <w:p>
      <w:pPr>
        <w:rPr>
          <w:rFonts w:hint="eastAsia" w:ascii="仿宋_GB2312" w:hAnsi="仿宋_GB2312" w:eastAsia="仿宋_GB2312" w:cs="仿宋_GB2312"/>
          <w:color w:val="auto"/>
          <w:kern w:val="0"/>
          <w:lang w:eastAsia="zh-CN"/>
        </w:rPr>
      </w:pPr>
    </w:p>
    <w:p>
      <w:pPr>
        <w:pStyle w:val="6"/>
        <w:rPr>
          <w:rFonts w:hint="eastAsia" w:ascii="仿宋_GB2312" w:hAnsi="仿宋_GB2312" w:eastAsia="仿宋_GB2312" w:cs="仿宋_GB2312"/>
          <w:color w:val="auto"/>
          <w:kern w:val="0"/>
          <w:lang w:eastAsia="zh-CN"/>
        </w:rPr>
      </w:pPr>
    </w:p>
    <w:p>
      <w:pPr>
        <w:rPr>
          <w:rFonts w:hint="eastAsia" w:ascii="仿宋_GB2312" w:hAnsi="仿宋_GB2312" w:eastAsia="仿宋_GB2312" w:cs="仿宋_GB2312"/>
          <w:color w:val="auto"/>
          <w:kern w:val="0"/>
          <w:lang w:eastAsia="zh-CN"/>
        </w:rPr>
      </w:pPr>
    </w:p>
    <w:p>
      <w:pPr>
        <w:pStyle w:val="6"/>
        <w:rPr>
          <w:rFonts w:hint="eastAsia" w:ascii="仿宋_GB2312" w:hAnsi="仿宋_GB2312" w:eastAsia="仿宋_GB2312" w:cs="仿宋_GB2312"/>
          <w:color w:val="auto"/>
          <w:kern w:val="0"/>
          <w:lang w:eastAsia="zh-CN"/>
        </w:rPr>
      </w:pPr>
      <w:bookmarkStart w:id="0" w:name="_GoBack"/>
      <w:bookmarkEnd w:id="0"/>
    </w:p>
    <w:p>
      <w:pPr>
        <w:rPr>
          <w:rFonts w:hint="eastAsia" w:ascii="仿宋_GB2312" w:hAnsi="仿宋_GB2312" w:eastAsia="仿宋_GB2312" w:cs="仿宋_GB2312"/>
          <w:color w:val="auto"/>
          <w:kern w:val="0"/>
          <w:lang w:eastAsia="zh-CN"/>
        </w:rPr>
      </w:pPr>
    </w:p>
    <w:p>
      <w:pPr>
        <w:pStyle w:val="6"/>
        <w:rPr>
          <w:rFonts w:hint="eastAsia"/>
          <w:lang w:eastAsia="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_GB2312" w:hAnsi="仿宋_GB2312" w:cs="仿宋_GB2312"/>
          <w:color w:val="auto"/>
          <w:kern w:val="0"/>
          <w:lang w:val="en-US" w:eastAsia="zh-CN"/>
        </w:rPr>
      </w:pPr>
    </w:p>
    <w:p>
      <w:pPr>
        <w:spacing w:line="20" w:lineRule="exact"/>
      </w:pPr>
    </w:p>
    <w:sectPr>
      <w:headerReference r:id="rId3" w:type="default"/>
      <w:footerReference r:id="rId4" w:type="default"/>
      <w:pgSz w:w="11906" w:h="16838"/>
      <w:pgMar w:top="2098" w:right="1474" w:bottom="1984" w:left="1587" w:header="851" w:footer="1587" w:gutter="0"/>
      <w:pgNumType w:fmt="decimal"/>
      <w:cols w:space="0" w:num="1"/>
      <w:rtlGutter w:val="0"/>
      <w:docGrid w:type="linesAndChars" w:linePitch="49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20" w:rightChars="100"/>
      <w:rPr>
        <w:rFonts w:hint="eastAsia" w:ascii="宋体" w:hAnsi="宋体" w:eastAsia="宋体" w:cs="宋体"/>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190500</wp:posOffset>
              </wp:positionV>
              <wp:extent cx="117792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779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right="320" w:rightChars="100" w:firstLine="280" w:firstLineChars="100"/>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92.75pt;mso-position-horizontal:outside;mso-position-horizontal-relative:margin;z-index:251660288;mso-width-relative:page;mso-height-relative:page;" filled="f" stroked="f" coordsize="21600,21600" o:gfxdata="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0Q/jpNUAAAAHAQAADwAAAAAAAAABACAAAAAiAAAAZHJzL2Rvd25y&#10;ZXYueG1sUEsBAhQAFAAAAAgAh07iQMzj64k6AgAAYwQAAA4AAAAAAAAAAQAgAAAAJAEAAGRycy9l&#10;Mm9Eb2MueG1sUEsFBgAAAAAGAAYAWQEAANAFAAAAAA==&#10;">
              <v:fill on="f" focussize="0,0"/>
              <v:stroke on="f" weight="0.5pt"/>
              <v:imagedata o:title=""/>
              <o:lock v:ext="edit" aspectratio="f"/>
              <v:textbox inset="0mm,0mm,0mm,0mm" style="mso-fit-shape-to-text:t;">
                <w:txbxContent>
                  <w:p>
                    <w:pPr>
                      <w:snapToGrid w:val="0"/>
                      <w:ind w:right="320" w:rightChars="100" w:firstLine="280" w:firstLineChars="100"/>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posOffset>3317240</wp:posOffset>
              </wp:positionH>
              <wp:positionV relativeFrom="paragraph">
                <wp:posOffset>-19050</wp:posOffset>
              </wp:positionV>
              <wp:extent cx="93726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37260" cy="1828800"/>
                      </a:xfrm>
                      <a:prstGeom prst="rect">
                        <a:avLst/>
                      </a:prstGeom>
                      <a:noFill/>
                      <a:ln w="6350">
                        <a:noFill/>
                      </a:ln>
                      <a:effectLst/>
                    </wps:spPr>
                    <wps:txbx>
                      <w:txbxContent>
                        <w:p>
                          <w:pPr>
                            <w:rPr>
                              <w:rFonts w:hint="eastAsia"/>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61.2pt;margin-top:-1.5pt;height:144pt;width:73.8pt;mso-position-horizontal-relative:margin;z-index:251659264;mso-width-relative:page;mso-height-relative:page;" filled="f" stroked="f" coordsize="21600,21600" o:gfxdata="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&#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J+Zl2QAAAAoBAAAPAAAAAAAAAAEAIAAAACIAAABk&#10;cnMvZG93bnJldi54bWxQSwECFAAUAAAACACHTuJAoyGl6T4CAABwBAAADgAAAAAAAAABACAAAAAo&#10;AQAAZHJzL2Uyb0RvYy54bWxQSwUGAAAAAAYABgBZAQAA2AUAAAAA&#10;">
              <v:fill on="f" focussize="0,0"/>
              <v:stroke on="f" weight="0.5pt"/>
              <v:imagedata o:title=""/>
              <o:lock v:ext="edit" aspectratio="f"/>
              <v:textbox inset="0mm,0mm,0mm,0mm" style="mso-fit-shape-to-text:t;">
                <w:txbxContent>
                  <w:p>
                    <w:pPr>
                      <w:rPr>
                        <w:rFonts w:hint="eastAsia"/>
                      </w:rPr>
                    </w:pPr>
                  </w:p>
                </w:txbxContent>
              </v:textbox>
            </v:shape>
          </w:pict>
        </mc:Fallback>
      </mc:AlternateContent>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264"/>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1NDg3MzA5YTQ2NDgxODRmODc0YWJiZTQxMDIwYTMifQ=="/>
  </w:docVars>
  <w:rsids>
    <w:rsidRoot w:val="4CFE4B17"/>
    <w:rsid w:val="00DA71A3"/>
    <w:rsid w:val="03655CA8"/>
    <w:rsid w:val="05E57574"/>
    <w:rsid w:val="05F94B45"/>
    <w:rsid w:val="06C116E7"/>
    <w:rsid w:val="07360A63"/>
    <w:rsid w:val="082B4688"/>
    <w:rsid w:val="089A68A9"/>
    <w:rsid w:val="09A35F80"/>
    <w:rsid w:val="0C457F1A"/>
    <w:rsid w:val="0D1254E1"/>
    <w:rsid w:val="0FE07E06"/>
    <w:rsid w:val="104E686E"/>
    <w:rsid w:val="13113687"/>
    <w:rsid w:val="14112D52"/>
    <w:rsid w:val="14223741"/>
    <w:rsid w:val="187D188E"/>
    <w:rsid w:val="1AE3553E"/>
    <w:rsid w:val="1B9A7FC5"/>
    <w:rsid w:val="1D316A58"/>
    <w:rsid w:val="1D38190A"/>
    <w:rsid w:val="1D3A08A0"/>
    <w:rsid w:val="1DBC45A1"/>
    <w:rsid w:val="1E5903C3"/>
    <w:rsid w:val="1F877DFC"/>
    <w:rsid w:val="2032294D"/>
    <w:rsid w:val="20E37B26"/>
    <w:rsid w:val="21C26BAF"/>
    <w:rsid w:val="23013D5E"/>
    <w:rsid w:val="24283F23"/>
    <w:rsid w:val="2492140C"/>
    <w:rsid w:val="26B048A9"/>
    <w:rsid w:val="27DB13FA"/>
    <w:rsid w:val="283553F8"/>
    <w:rsid w:val="28F424E6"/>
    <w:rsid w:val="295F3E30"/>
    <w:rsid w:val="2A4144C9"/>
    <w:rsid w:val="2C462C7F"/>
    <w:rsid w:val="2D712075"/>
    <w:rsid w:val="2E7D5D58"/>
    <w:rsid w:val="2EE532F7"/>
    <w:rsid w:val="30152E70"/>
    <w:rsid w:val="30356379"/>
    <w:rsid w:val="33330F40"/>
    <w:rsid w:val="353E13D7"/>
    <w:rsid w:val="35AB6264"/>
    <w:rsid w:val="37240BC0"/>
    <w:rsid w:val="37F33196"/>
    <w:rsid w:val="3B004815"/>
    <w:rsid w:val="3B235E91"/>
    <w:rsid w:val="3CAE2A79"/>
    <w:rsid w:val="3DBBE087"/>
    <w:rsid w:val="3FD79140"/>
    <w:rsid w:val="3FE7FFE1"/>
    <w:rsid w:val="40A75946"/>
    <w:rsid w:val="41435016"/>
    <w:rsid w:val="4190205F"/>
    <w:rsid w:val="41B15E32"/>
    <w:rsid w:val="42734FE4"/>
    <w:rsid w:val="437C67F9"/>
    <w:rsid w:val="46A3427D"/>
    <w:rsid w:val="4ADFBA6A"/>
    <w:rsid w:val="4CBE5232"/>
    <w:rsid w:val="4CFE4B17"/>
    <w:rsid w:val="4D9106CD"/>
    <w:rsid w:val="4D965947"/>
    <w:rsid w:val="4F657F93"/>
    <w:rsid w:val="50B05655"/>
    <w:rsid w:val="5167171C"/>
    <w:rsid w:val="51F04E51"/>
    <w:rsid w:val="5231755D"/>
    <w:rsid w:val="52FD0652"/>
    <w:rsid w:val="54926A64"/>
    <w:rsid w:val="58A53BF9"/>
    <w:rsid w:val="59C32CA9"/>
    <w:rsid w:val="59DE7CE2"/>
    <w:rsid w:val="5AFEA5C3"/>
    <w:rsid w:val="5D8453C5"/>
    <w:rsid w:val="5EB940FA"/>
    <w:rsid w:val="5F80049C"/>
    <w:rsid w:val="61AE5715"/>
    <w:rsid w:val="634207ED"/>
    <w:rsid w:val="635D341B"/>
    <w:rsid w:val="653F4F3F"/>
    <w:rsid w:val="6B8653A3"/>
    <w:rsid w:val="6BED6318"/>
    <w:rsid w:val="6D565383"/>
    <w:rsid w:val="6F4A63AD"/>
    <w:rsid w:val="70607D65"/>
    <w:rsid w:val="70E64A50"/>
    <w:rsid w:val="713D6E21"/>
    <w:rsid w:val="71FB4E70"/>
    <w:rsid w:val="734549C2"/>
    <w:rsid w:val="74D472B5"/>
    <w:rsid w:val="76F021B0"/>
    <w:rsid w:val="77FC09CD"/>
    <w:rsid w:val="78011556"/>
    <w:rsid w:val="7B9E0A5B"/>
    <w:rsid w:val="7BC167E5"/>
    <w:rsid w:val="7E753642"/>
    <w:rsid w:val="7EED4BDD"/>
    <w:rsid w:val="7EF92F04"/>
    <w:rsid w:val="7F7392B6"/>
    <w:rsid w:val="7FDD4804"/>
    <w:rsid w:val="BACF293E"/>
    <w:rsid w:val="BEF15A72"/>
    <w:rsid w:val="D75FB7C1"/>
    <w:rsid w:val="DCFB8E3D"/>
    <w:rsid w:val="DE7F0C4B"/>
    <w:rsid w:val="FFEDD48D"/>
    <w:rsid w:val="FFFFA0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heme="minorBidi"/>
      <w:kern w:val="2"/>
      <w:sz w:val="32"/>
      <w:szCs w:val="32"/>
      <w:lang w:val="en-US" w:eastAsia="zh-CN" w:bidi="ar-SA"/>
    </w:rPr>
  </w:style>
  <w:style w:type="paragraph" w:styleId="2">
    <w:name w:val="heading 3"/>
    <w:basedOn w:val="1"/>
    <w:next w:val="1"/>
    <w:qFormat/>
    <w:uiPriority w:val="0"/>
    <w:pPr>
      <w:keepNext/>
      <w:keepLines/>
      <w:spacing w:before="260" w:after="260" w:line="415" w:lineRule="auto"/>
      <w:outlineLvl w:val="2"/>
    </w:pPr>
    <w:rPr>
      <w:b/>
      <w:sz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2"/>
    <w:basedOn w:val="1"/>
    <w:next w:val="1"/>
    <w:qFormat/>
    <w:uiPriority w:val="0"/>
    <w:pPr>
      <w:spacing w:after="120" w:afterLines="0" w:afterAutospacing="0" w:line="480" w:lineRule="auto"/>
      <w:ind w:left="420" w:leftChars="200"/>
    </w:pPr>
  </w:style>
  <w:style w:type="paragraph" w:styleId="4">
    <w:name w:val="footer"/>
    <w:basedOn w:val="1"/>
    <w:qFormat/>
    <w:uiPriority w:val="0"/>
    <w:pPr>
      <w:tabs>
        <w:tab w:val="center" w:pos="4153"/>
        <w:tab w:val="right" w:pos="8306"/>
      </w:tabs>
      <w:snapToGrid w:val="0"/>
      <w:jc w:val="left"/>
    </w:pPr>
    <w:rPr>
      <w:rFonts w:ascii="Times New Roman" w:hAnsi="Times New Roman" w:eastAsia="仿宋_GB2312"/>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ind w:left="200" w:leftChars="200" w:hanging="200" w:hangingChars="200"/>
    </w:pPr>
    <w:rPr>
      <w:rFonts w:ascii="Calibri" w:hAnsi="Calibri" w:eastAsia="仿宋"/>
      <w:sz w:val="32"/>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0"/>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4328</Words>
  <Characters>4483</Characters>
  <Lines>0</Lines>
  <Paragraphs>0</Paragraphs>
  <TotalTime>25</TotalTime>
  <ScaleCrop>false</ScaleCrop>
  <LinksUpToDate>false</LinksUpToDate>
  <CharactersWithSpaces>4781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2018-02-01T16:47:00Z</dcterms:created>
  <dc:creator>王海霞</dc:creator>
  <cp:lastModifiedBy>孙丽</cp:lastModifiedBy>
  <cp:lastPrinted>2025-01-23T13:10:00Z</cp:lastPrinted>
  <dcterms:modified xsi:type="dcterms:W3CDTF">2025-01-23T08:31:31Z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EB41CE8C8EAC4EA193A454DD68AD0CDC_13</vt:lpwstr>
  </property>
</Properties>
</file>