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475" w:beforeLines="150" w:after="475" w:afterLines="150" w:line="360" w:lineRule="auto"/>
        <w:jc w:val="center"/>
        <w:textAlignment w:val="auto"/>
        <w:outlineLvl w:val="9"/>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2018年度绵阳仲裁委员会工作总结</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2018年，</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绵阳仲裁委员会</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认真贯彻落实省委、市委决策部署，</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以“</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推动治蜀兴川再上新台阶</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建设中国科技城和西部现代化强市”为工作总要求，正确把握绵阳市经济社会发展的新形势，</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围绕中心、服务大局，全面提升仲裁服务水平，</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突出抓好党风廉政建设、依法办案、仲裁宣传、对外沟通、机构建设等重点工作，各项工作取得显著成效，</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为优化我市法治化</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便利化营商环境作出</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积极</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贡献。</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强化党风廉政建设意识，促进仲裁事业发展</w:t>
      </w:r>
    </w:p>
    <w:p>
      <w:pPr>
        <w:keepNext w:val="0"/>
        <w:keepLines w:val="0"/>
        <w:pageBreakBefore w:val="0"/>
        <w:widowControl w:val="0"/>
        <w:kinsoku/>
        <w:wordWrap/>
        <w:overflowPunct/>
        <w:topLinePunct w:val="0"/>
        <w:autoSpaceDE/>
        <w:autoSpaceDN/>
        <w:bidi w:val="0"/>
        <w:adjustRightInd/>
        <w:snapToGrid/>
        <w:spacing w:before="0" w:after="0" w:line="58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绵阳仲裁委员会坚持</w:t>
      </w:r>
      <w:r>
        <w:rPr>
          <w:rFonts w:hint="eastAsia" w:ascii="仿宋_GB2312" w:hAnsi="仿宋_GB2312" w:eastAsia="仿宋_GB2312" w:cs="仿宋_GB2312"/>
          <w:sz w:val="32"/>
          <w:szCs w:val="32"/>
        </w:rPr>
        <w:t>以习近平新时代中国特色社会主义思想为指导，全面贯彻落实党的十九大战略部署</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不忘初心、牢记使命，全面从严治党，</w:t>
      </w:r>
      <w:r>
        <w:rPr>
          <w:rFonts w:hint="eastAsia" w:ascii="仿宋_GB2312" w:hAnsi="仿宋_GB2312" w:eastAsia="仿宋_GB2312" w:cs="仿宋_GB2312"/>
          <w:sz w:val="32"/>
          <w:szCs w:val="32"/>
          <w:lang w:val="en-US" w:eastAsia="zh-CN"/>
        </w:rPr>
        <w:t>以党的政治建设为统领，全面落实党风廉政建设和反腐败斗争各项工作任务，持之以恒</w:t>
      </w:r>
      <w:r>
        <w:rPr>
          <w:rFonts w:hint="eastAsia" w:ascii="仿宋_GB2312" w:hAnsi="仿宋_GB2312" w:eastAsia="仿宋_GB2312" w:cs="仿宋_GB2312"/>
          <w:i w:val="0"/>
          <w:caps w:val="0"/>
          <w:color w:val="000000"/>
          <w:spacing w:val="0"/>
          <w:sz w:val="32"/>
          <w:szCs w:val="32"/>
          <w:shd w:val="clear" w:fill="FFFFFF"/>
        </w:rPr>
        <w:t>强素质、明纪律、转作风，将全面从严治党贯穿到</w:t>
      </w:r>
      <w:r>
        <w:rPr>
          <w:rFonts w:hint="eastAsia" w:ascii="仿宋_GB2312" w:hAnsi="仿宋_GB2312" w:eastAsia="仿宋_GB2312" w:cs="仿宋_GB2312"/>
          <w:i w:val="0"/>
          <w:caps w:val="0"/>
          <w:color w:val="000000"/>
          <w:spacing w:val="0"/>
          <w:sz w:val="32"/>
          <w:szCs w:val="32"/>
          <w:shd w:val="clear" w:fill="FFFFFF"/>
          <w:lang w:val="en-US" w:eastAsia="zh-CN"/>
        </w:rPr>
        <w:t>仲裁各项</w:t>
      </w:r>
      <w:r>
        <w:rPr>
          <w:rFonts w:hint="eastAsia" w:ascii="仿宋_GB2312" w:hAnsi="仿宋_GB2312" w:eastAsia="仿宋_GB2312" w:cs="仿宋_GB2312"/>
          <w:i w:val="0"/>
          <w:caps w:val="0"/>
          <w:color w:val="000000"/>
          <w:spacing w:val="0"/>
          <w:sz w:val="32"/>
          <w:szCs w:val="32"/>
          <w:shd w:val="clear" w:fill="FFFFFF"/>
        </w:rPr>
        <w:t>工作</w:t>
      </w:r>
      <w:r>
        <w:rPr>
          <w:rFonts w:hint="eastAsia" w:ascii="仿宋_GB2312" w:hAnsi="仿宋_GB2312" w:eastAsia="仿宋_GB2312" w:cs="仿宋_GB2312"/>
          <w:i w:val="0"/>
          <w:caps w:val="0"/>
          <w:color w:val="000000"/>
          <w:spacing w:val="0"/>
          <w:sz w:val="32"/>
          <w:szCs w:val="32"/>
          <w:shd w:val="clear" w:fill="FFFFFF"/>
          <w:lang w:val="en-US" w:eastAsia="zh-CN"/>
        </w:rPr>
        <w:t>中</w:t>
      </w:r>
      <w:r>
        <w:rPr>
          <w:rFonts w:hint="eastAsia" w:ascii="仿宋_GB2312" w:hAnsi="仿宋_GB2312" w:eastAsia="仿宋_GB2312" w:cs="仿宋_GB2312"/>
          <w:sz w:val="32"/>
          <w:szCs w:val="32"/>
          <w:lang w:val="en-US" w:eastAsia="zh-CN"/>
        </w:rPr>
        <w:t>，营造了风清气正的良好政治生态，为推动仲裁事业发展奠定了坚实基础</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before="0" w:after="0" w:line="580" w:lineRule="exact"/>
        <w:ind w:left="0" w:lef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楷体" w:hAnsi="楷体" w:eastAsia="楷体" w:cs="楷体"/>
          <w:kern w:val="2"/>
          <w:sz w:val="32"/>
          <w:szCs w:val="32"/>
          <w:lang w:val="en-US" w:eastAsia="zh-CN" w:bidi="ar"/>
        </w:rPr>
        <w:t>（一）夯实全面从严治党责任，强化履职担当</w:t>
      </w:r>
    </w:p>
    <w:p>
      <w:pPr>
        <w:keepNext w:val="0"/>
        <w:keepLines w:val="0"/>
        <w:pageBreakBefore w:val="0"/>
        <w:widowControl w:val="0"/>
        <w:numPr>
          <w:ilvl w:val="-1"/>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pPr>
      <w:r>
        <w:rPr>
          <w:rFonts w:hint="eastAsia" w:ascii="仿宋_GB2312" w:hAnsi="仿宋_GB2312" w:eastAsia="仿宋_GB2312" w:cs="仿宋_GB2312"/>
          <w:sz w:val="32"/>
          <w:szCs w:val="32"/>
          <w:lang w:val="en-US" w:eastAsia="zh-CN" w:bidi="ar"/>
        </w:rPr>
        <w:t>为明确党风廉政建设和反腐败工作责任，</w:t>
      </w:r>
      <w:r>
        <w:rPr>
          <w:rFonts w:hint="eastAsia" w:ascii="仿宋_GB2312" w:hAnsi="仿宋_GB2312" w:eastAsia="仿宋_GB2312" w:cs="仿宋_GB2312"/>
          <w:kern w:val="2"/>
          <w:sz w:val="32"/>
          <w:szCs w:val="32"/>
          <w:lang w:val="en-US" w:eastAsia="zh-CN" w:bidi="ar"/>
        </w:rPr>
        <w:t>真正把党风廉政建设工作融入到仲裁工作之中，形成一层抓一层、层层抓落实的合力，本会秘书处</w:t>
      </w:r>
      <w:r>
        <w:rPr>
          <w:rFonts w:hint="eastAsia" w:ascii="仿宋_GB2312" w:hAnsi="仿宋_GB2312" w:eastAsia="仿宋_GB2312" w:cs="仿宋_GB2312"/>
          <w:color w:val="000000"/>
          <w:sz w:val="32"/>
          <w:szCs w:val="32"/>
          <w:shd w:val="clear" w:fill="FFFFFF"/>
          <w:lang w:val="en-US" w:eastAsia="zh-CN"/>
        </w:rPr>
        <w:t>成立了党风廉政建设领导小组，层层签订《党风廉政建设目标责任书》，印发《2018年党风廉政建设主体责任清单》，</w:t>
      </w:r>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加强对廉政风险点的管控，</w:t>
      </w:r>
      <w:r>
        <w:rPr>
          <w:rFonts w:hint="eastAsia" w:ascii="仿宋_GB2312" w:hAnsi="仿宋_GB2312" w:eastAsia="仿宋_GB2312" w:cs="仿宋_GB2312"/>
          <w:kern w:val="2"/>
          <w:sz w:val="32"/>
          <w:szCs w:val="32"/>
          <w:lang w:val="en-US" w:eastAsia="zh-CN" w:bidi="ar"/>
        </w:rPr>
        <w:t>不断完善党风廉政建设工作格局</w:t>
      </w:r>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w:t>
      </w:r>
      <w:r>
        <w:rPr>
          <w:rFonts w:hint="eastAsia" w:ascii="仿宋_GB2312" w:hAnsi="仿宋_GB2312" w:eastAsia="仿宋_GB2312" w:cs="仿宋_GB2312"/>
          <w:kern w:val="2"/>
          <w:sz w:val="32"/>
          <w:szCs w:val="32"/>
          <w:lang w:val="en-US" w:eastAsia="zh-CN" w:bidi="ar"/>
        </w:rPr>
        <w:t>推动全面从严治党在仲裁工作中落地生根，</w:t>
      </w:r>
      <w:r>
        <w:rPr>
          <w:rFonts w:hint="eastAsia" w:ascii="仿宋_GB2312" w:hAnsi="仿宋_GB2312" w:eastAsia="仿宋_GB2312" w:cs="仿宋_GB2312"/>
          <w:color w:val="000000"/>
          <w:sz w:val="32"/>
          <w:szCs w:val="32"/>
          <w:shd w:val="clear" w:fill="FFFFFF"/>
          <w:lang w:val="en-US" w:eastAsia="zh-CN"/>
        </w:rPr>
        <w:t>做到党风廉政建设与业务工作“四同时”，即同研究、同部署、同检查、同考核。</w:t>
      </w:r>
    </w:p>
    <w:p>
      <w:pPr>
        <w:keepNext w:val="0"/>
        <w:keepLines w:val="0"/>
        <w:pageBreakBefore w:val="0"/>
        <w:widowControl w:val="0"/>
        <w:kinsoku/>
        <w:wordWrap/>
        <w:overflowPunct/>
        <w:topLinePunct w:val="0"/>
        <w:autoSpaceDE/>
        <w:autoSpaceDN/>
        <w:bidi w:val="0"/>
        <w:adjustRightInd/>
        <w:snapToGrid/>
        <w:spacing w:before="0" w:after="0" w:line="580" w:lineRule="exact"/>
        <w:ind w:left="0" w:leftChars="0" w:firstLine="640" w:firstLineChars="200"/>
        <w:jc w:val="both"/>
        <w:textAlignment w:val="auto"/>
        <w:outlineLvl w:val="9"/>
        <w:rPr>
          <w:rFonts w:hint="eastAsia" w:ascii="楷体" w:hAnsi="楷体" w:eastAsia="楷体" w:cs="楷体"/>
          <w:sz w:val="32"/>
          <w:szCs w:val="32"/>
          <w:lang w:val="en-US"/>
        </w:rPr>
      </w:pPr>
      <w:r>
        <w:rPr>
          <w:rFonts w:hint="eastAsia" w:ascii="楷体" w:hAnsi="楷体" w:eastAsia="楷体" w:cs="楷体"/>
          <w:i w:val="0"/>
          <w:caps w:val="0"/>
          <w:color w:val="000000"/>
          <w:spacing w:val="0"/>
          <w:sz w:val="32"/>
          <w:szCs w:val="32"/>
          <w:shd w:val="clear" w:fill="FFFFFF"/>
          <w:lang w:val="en-US" w:eastAsia="zh-CN"/>
        </w:rPr>
        <w:t>（二）加强党风廉政建设，</w:t>
      </w:r>
      <w:r>
        <w:rPr>
          <w:rFonts w:hint="eastAsia" w:ascii="楷体" w:hAnsi="楷体" w:eastAsia="楷体" w:cs="楷体"/>
          <w:kern w:val="2"/>
          <w:sz w:val="32"/>
          <w:szCs w:val="32"/>
          <w:lang w:val="en-US" w:eastAsia="zh-CN" w:bidi="ar"/>
        </w:rPr>
        <w:t>紧抓廉政制度落实</w:t>
      </w:r>
    </w:p>
    <w:p>
      <w:pPr>
        <w:keepNext w:val="0"/>
        <w:keepLines w:val="0"/>
        <w:pageBreakBefore w:val="0"/>
        <w:widowControl w:val="0"/>
        <w:numPr>
          <w:ilvl w:val="-1"/>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i w:val="0"/>
          <w:caps w:val="0"/>
          <w:color w:val="000000"/>
          <w:spacing w:val="0"/>
          <w:sz w:val="32"/>
          <w:szCs w:val="32"/>
          <w:shd w:val="clear" w:fill="FFFFFF"/>
          <w:lang w:val="en-US" w:eastAsia="zh-CN"/>
        </w:rPr>
        <w:t>一是建立秘书</w:t>
      </w:r>
      <w:r>
        <w:rPr>
          <w:rFonts w:hint="eastAsia" w:ascii="仿宋_GB2312" w:hAnsi="仿宋_GB2312" w:eastAsia="仿宋_GB2312" w:cs="仿宋_GB2312"/>
          <w:i w:val="0"/>
          <w:caps w:val="0"/>
          <w:color w:val="auto"/>
          <w:spacing w:val="0"/>
          <w:sz w:val="32"/>
          <w:szCs w:val="32"/>
          <w:shd w:val="clear" w:fill="FFFFFF"/>
          <w:lang w:val="en-US" w:eastAsia="zh-CN"/>
        </w:rPr>
        <w:t>处办公会议议事决策规则</w:t>
      </w:r>
      <w:r>
        <w:rPr>
          <w:rFonts w:hint="eastAsia" w:ascii="仿宋_GB2312" w:hAnsi="仿宋_GB2312" w:eastAsia="仿宋_GB2312" w:cs="仿宋_GB2312"/>
          <w:i w:val="0"/>
          <w:caps w:val="0"/>
          <w:color w:val="000000"/>
          <w:spacing w:val="0"/>
          <w:sz w:val="32"/>
          <w:szCs w:val="32"/>
          <w:shd w:val="clear" w:fill="FFFFFF"/>
          <w:lang w:val="en-US" w:eastAsia="zh-CN"/>
        </w:rPr>
        <w:t>，对“三重一大”事项均</w:t>
      </w:r>
      <w:r>
        <w:rPr>
          <w:rFonts w:hint="eastAsia" w:ascii="仿宋_GB2312" w:hAnsi="仿宋_GB2312" w:eastAsia="仿宋_GB2312" w:cs="仿宋_GB2312"/>
          <w:i w:val="0"/>
          <w:caps w:val="0"/>
          <w:color w:val="auto"/>
          <w:spacing w:val="0"/>
          <w:sz w:val="32"/>
          <w:szCs w:val="32"/>
          <w:shd w:val="clear" w:fill="FFFFFF"/>
          <w:lang w:val="en-US" w:eastAsia="zh-CN"/>
        </w:rPr>
        <w:t>通过秘书长办公会议集体研究</w:t>
      </w:r>
      <w:r>
        <w:rPr>
          <w:rFonts w:hint="eastAsia" w:ascii="仿宋_GB2312" w:hAnsi="仿宋_GB2312" w:eastAsia="仿宋_GB2312" w:cs="仿宋_GB2312"/>
          <w:i w:val="0"/>
          <w:caps w:val="0"/>
          <w:color w:val="000000"/>
          <w:spacing w:val="0"/>
          <w:sz w:val="32"/>
          <w:szCs w:val="32"/>
          <w:shd w:val="clear" w:fill="FFFFFF"/>
          <w:lang w:val="en-US" w:eastAsia="zh-CN"/>
        </w:rPr>
        <w:t>决定，切实做到“一事一议”，对个别重大事项，做到一事多议，确保重大事项决策的科学性、正确性。二是</w:t>
      </w:r>
      <w:r>
        <w:rPr>
          <w:rFonts w:hint="eastAsia" w:ascii="仿宋_GB2312" w:hAnsi="仿宋_GB2312" w:eastAsia="仿宋_GB2312" w:cs="仿宋_GB2312"/>
          <w:b w:val="0"/>
          <w:bCs w:val="0"/>
          <w:color w:val="auto"/>
          <w:sz w:val="32"/>
          <w:szCs w:val="32"/>
          <w:lang w:val="en-US" w:eastAsia="zh-CN"/>
        </w:rPr>
        <w:t>完善内部管理制度</w:t>
      </w:r>
      <w:r>
        <w:rPr>
          <w:rFonts w:hint="eastAsia" w:ascii="仿宋_GB2312" w:hAnsi="仿宋_GB2312" w:eastAsia="仿宋_GB2312" w:cs="仿宋_GB2312"/>
          <w:b w:val="0"/>
          <w:bCs w:val="0"/>
          <w:color w:val="auto"/>
          <w:sz w:val="32"/>
          <w:szCs w:val="32"/>
          <w:highlight w:val="none"/>
          <w:lang w:val="en-US" w:eastAsia="zh-CN"/>
        </w:rPr>
        <w:t>，坚持问题导向。三是</w:t>
      </w:r>
      <w:r>
        <w:rPr>
          <w:rFonts w:hint="eastAsia" w:ascii="仿宋_GB2312" w:hAnsi="仿宋_GB2312" w:eastAsia="仿宋_GB2312" w:cs="仿宋_GB2312"/>
          <w:b w:val="0"/>
          <w:bCs w:val="0"/>
          <w:color w:val="auto"/>
          <w:sz w:val="32"/>
          <w:szCs w:val="32"/>
          <w:lang w:val="en-US" w:eastAsia="zh-CN"/>
        </w:rPr>
        <w:t>建立完善透明的财务制度，规范报销采购流程、严格票据管理，严控内部廉政风险。四是规范包含考勤考核、办案及归卷考核、宣传工作考核、信息安全管理考核、廉洁自律考核等在内的各项考核制度，对秘书处工作人员进行全面考核，奖惩公开透明。五是根据</w:t>
      </w:r>
      <w:r>
        <w:rPr>
          <w:rFonts w:hint="eastAsia" w:ascii="仿宋_GB2312" w:hAnsi="仿宋_GB2312" w:eastAsia="仿宋_GB2312" w:cs="仿宋_GB2312"/>
          <w:b w:val="0"/>
          <w:bCs w:val="0"/>
          <w:color w:val="auto"/>
          <w:sz w:val="32"/>
          <w:szCs w:val="32"/>
          <w:highlight w:val="none"/>
          <w:lang w:val="en-US" w:eastAsia="zh-CN"/>
        </w:rPr>
        <w:t>《党政机关厉行节约反对浪费条例》，提倡艰苦奋斗勤俭节约的优良作风，反对奢侈浪费之风。六是强化对</w:t>
      </w:r>
      <w:r>
        <w:rPr>
          <w:rFonts w:hint="eastAsia" w:ascii="仿宋_GB2312" w:hAnsi="仿宋_GB2312" w:eastAsia="仿宋_GB2312" w:cs="仿宋_GB2312"/>
          <w:color w:val="auto"/>
          <w:sz w:val="32"/>
          <w:szCs w:val="32"/>
          <w:lang w:val="en-US" w:eastAsia="zh-CN"/>
        </w:rPr>
        <w:t>仲裁员的监督，对不认真履职的仲裁员进行告诫，优化《绵阳仲裁委员会仲裁庭办案指南》，保障当事人的程序权利。</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rPr>
        <w:t>（</w:t>
      </w:r>
      <w:r>
        <w:rPr>
          <w:rFonts w:hint="eastAsia" w:ascii="楷体" w:hAnsi="楷体" w:eastAsia="楷体" w:cs="楷体"/>
          <w:sz w:val="32"/>
          <w:szCs w:val="32"/>
          <w:lang w:val="en-US" w:eastAsia="zh-CN"/>
        </w:rPr>
        <w:t>三</w:t>
      </w:r>
      <w:r>
        <w:rPr>
          <w:rFonts w:hint="eastAsia" w:ascii="楷体" w:hAnsi="楷体" w:eastAsia="楷体" w:cs="楷体"/>
          <w:sz w:val="32"/>
          <w:szCs w:val="32"/>
        </w:rPr>
        <w:t>）</w:t>
      </w:r>
      <w:r>
        <w:rPr>
          <w:rFonts w:hint="eastAsia" w:ascii="楷体" w:hAnsi="楷体" w:eastAsia="楷体" w:cs="楷体"/>
          <w:sz w:val="32"/>
          <w:szCs w:val="32"/>
          <w:lang w:val="en-US" w:eastAsia="zh-CN"/>
        </w:rPr>
        <w:t>强化</w:t>
      </w:r>
      <w:r>
        <w:rPr>
          <w:rFonts w:hint="eastAsia" w:ascii="楷体" w:hAnsi="楷体" w:eastAsia="楷体" w:cs="楷体"/>
          <w:sz w:val="32"/>
          <w:szCs w:val="32"/>
        </w:rPr>
        <w:t>宣传教育，</w:t>
      </w:r>
      <w:r>
        <w:rPr>
          <w:rFonts w:hint="eastAsia" w:ascii="楷体" w:hAnsi="楷体" w:eastAsia="楷体" w:cs="楷体"/>
          <w:sz w:val="32"/>
          <w:szCs w:val="32"/>
          <w:lang w:val="en-US" w:eastAsia="zh-CN"/>
        </w:rPr>
        <w:t>实现党风廉政建设教育常态化</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结合仲裁工作，本会将政治理论教育作为党风廉政建设工作的基础，</w:t>
      </w:r>
      <w:r>
        <w:rPr>
          <w:rFonts w:hint="eastAsia" w:ascii="仿宋_GB2312" w:hAnsi="仿宋_GB2312" w:eastAsia="仿宋_GB2312" w:cs="仿宋_GB2312"/>
          <w:kern w:val="2"/>
          <w:sz w:val="32"/>
          <w:szCs w:val="32"/>
          <w:lang w:val="en-US" w:eastAsia="zh-CN" w:bidi="ar"/>
        </w:rPr>
        <w:t>认真开展“不忘初心、牢记使命”主题教育，把学习贯彻习近平新时代中国特色社会主义思想、党的十九大和十九届中央纪委二次全会精神作为当前一项重要政治任务，不折不扣抓紧抓好。教育党员干部职工牢固树立“四个意识”，坚定“四个自信”，随时对照检查自己的思想和言行，做到知行合一，确保始终坚持正确的政治方向，筑牢拒腐防变的思想防线。</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rPr>
        <w:t>（</w:t>
      </w:r>
      <w:r>
        <w:rPr>
          <w:rFonts w:hint="eastAsia" w:ascii="楷体" w:hAnsi="楷体" w:eastAsia="楷体" w:cs="楷体"/>
          <w:sz w:val="32"/>
          <w:szCs w:val="32"/>
          <w:lang w:val="en-US" w:eastAsia="zh-CN"/>
        </w:rPr>
        <w:t>四</w:t>
      </w:r>
      <w:r>
        <w:rPr>
          <w:rFonts w:hint="eastAsia" w:ascii="楷体" w:hAnsi="楷体" w:eastAsia="楷体" w:cs="楷体"/>
          <w:sz w:val="32"/>
          <w:szCs w:val="32"/>
        </w:rPr>
        <w:t>）强化作风建设，树立仲裁公信力</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
        </w:rPr>
        <w:t>为了打造一支专业过硬、作风严明的仲裁队伍，本会积极开展形式多样、内容丰富的党风廉政建设教育活动。从严要求仲裁工作人员、仲裁员，始终要身体力行、率先垂范，坚持廉洁务实的工作作风，密切联系群众，厉行节俭、反对浪费，牢固树立公平公正、廉洁从业的职业理念，为树立仲裁公信力打下了坚实基础。深入开展“不担当不作为”问题整治，</w:t>
      </w:r>
      <w:r>
        <w:rPr>
          <w:rFonts w:hint="eastAsia" w:ascii="仿宋_GB2312" w:hAnsi="仿宋_GB2312" w:eastAsia="仿宋_GB2312" w:cs="仿宋_GB2312"/>
          <w:sz w:val="32"/>
          <w:szCs w:val="32"/>
          <w:lang w:val="en-US" w:eastAsia="zh-CN"/>
        </w:rPr>
        <w:t>驰而不息的纠正“四风”，</w:t>
      </w:r>
      <w:r>
        <w:rPr>
          <w:rFonts w:hint="eastAsia" w:ascii="仿宋_GB2312" w:hAnsi="仿宋_GB2312" w:eastAsia="仿宋_GB2312" w:cs="仿宋_GB2312"/>
          <w:kern w:val="2"/>
          <w:sz w:val="32"/>
          <w:szCs w:val="32"/>
          <w:lang w:val="en-US" w:eastAsia="zh-CN" w:bidi="ar"/>
        </w:rPr>
        <w:t>坚决防范“四风”问题的苗头出现，持续开展“庸懒散”专项治理，巩固效能提升工程。严格践行廉洁纪律规定，加大监督检查力度，拓宽监督渠道，接受当事人、代理人等社会各界的监督，形成监督合力，营造浓厚的监督氛围，切实做到按制度用权、依制度办事、靠制度监督，使仲裁工作在阳光下运行。</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二</w:t>
      </w:r>
      <w:r>
        <w:rPr>
          <w:rFonts w:hint="eastAsia" w:ascii="黑体" w:hAnsi="黑体" w:eastAsia="黑体" w:cs="黑体"/>
          <w:b w:val="0"/>
          <w:bCs w:val="0"/>
          <w:color w:val="000000" w:themeColor="text1"/>
          <w:sz w:val="32"/>
          <w:szCs w:val="32"/>
          <w14:textFill>
            <w14:solidFill>
              <w14:schemeClr w14:val="tx1"/>
            </w14:solidFill>
          </w14:textFill>
        </w:rPr>
        <w:t>、</w:t>
      </w:r>
      <w:r>
        <w:rPr>
          <w:rFonts w:hint="eastAsia" w:ascii="黑体" w:hAnsi="黑体" w:eastAsia="黑体" w:cs="黑体"/>
          <w:b w:val="0"/>
          <w:bCs w:val="0"/>
          <w:i w:val="0"/>
          <w:caps w:val="0"/>
          <w:color w:val="000000" w:themeColor="text1"/>
          <w:spacing w:val="0"/>
          <w:sz w:val="32"/>
          <w:szCs w:val="32"/>
          <w:shd w:val="clear" w:fill="FFFFFF"/>
          <w:lang w:val="en-US" w:eastAsia="zh-CN"/>
          <w14:textFill>
            <w14:solidFill>
              <w14:schemeClr w14:val="tx1"/>
            </w14:solidFill>
          </w14:textFill>
        </w:rPr>
        <w:t>发挥仲裁作用，担当起新时代赋予仲裁工作的重要使命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t>围绕习近平总书记“推动治蜀兴川再上新台阶”的总要求和我市加快建设“中国科技城和西部现代化强市”的战略谋划，本会找准服务大局的着力点和结合点，积极做好各项工作。</w:t>
      </w:r>
    </w:p>
    <w:p>
      <w:pPr>
        <w:pStyle w:val="4"/>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rPr>
          <w:rFonts w:hint="eastAsia" w:ascii="楷体" w:hAnsi="楷体" w:eastAsia="楷体" w:cs="楷体"/>
          <w:i w:val="0"/>
          <w:caps w:val="0"/>
          <w:color w:val="000000" w:themeColor="text1"/>
          <w:spacing w:val="0"/>
          <w:sz w:val="32"/>
          <w:szCs w:val="32"/>
          <w:shd w:val="clear" w:fill="FFFFFF"/>
          <w:lang w:val="en-US" w:eastAsia="zh-CN"/>
          <w14:textFill>
            <w14:solidFill>
              <w14:schemeClr w14:val="tx1"/>
            </w14:solidFill>
          </w14:textFill>
        </w:rPr>
      </w:pPr>
      <w:r>
        <w:rPr>
          <w:rFonts w:hint="eastAsia" w:ascii="楷体" w:hAnsi="楷体" w:eastAsia="楷体" w:cs="楷体"/>
          <w:i w:val="0"/>
          <w:caps w:val="0"/>
          <w:color w:val="000000" w:themeColor="text1"/>
          <w:spacing w:val="0"/>
          <w:sz w:val="32"/>
          <w:szCs w:val="32"/>
          <w:shd w:val="clear" w:fill="FFFFFF"/>
          <w:lang w:eastAsia="zh-CN"/>
          <w14:textFill>
            <w14:solidFill>
              <w14:schemeClr w14:val="tx1"/>
            </w14:solidFill>
          </w14:textFill>
        </w:rPr>
        <w:t>（</w:t>
      </w:r>
      <w:r>
        <w:rPr>
          <w:rFonts w:hint="eastAsia" w:ascii="楷体" w:hAnsi="楷体" w:eastAsia="楷体" w:cs="楷体"/>
          <w:i w:val="0"/>
          <w:caps w:val="0"/>
          <w:color w:val="000000" w:themeColor="text1"/>
          <w:spacing w:val="0"/>
          <w:sz w:val="32"/>
          <w:szCs w:val="32"/>
          <w:shd w:val="clear" w:fill="FFFFFF"/>
          <w:lang w:val="en-US" w:eastAsia="zh-CN"/>
          <w14:textFill>
            <w14:solidFill>
              <w14:schemeClr w14:val="tx1"/>
            </w14:solidFill>
          </w14:textFill>
        </w:rPr>
        <w:t>一）</w:t>
      </w:r>
      <w:r>
        <w:rPr>
          <w:rFonts w:hint="eastAsia" w:ascii="楷体" w:hAnsi="楷体" w:eastAsia="楷体" w:cs="楷体"/>
          <w:i w:val="0"/>
          <w:caps w:val="0"/>
          <w:color w:val="000000" w:themeColor="text1"/>
          <w:spacing w:val="0"/>
          <w:sz w:val="32"/>
          <w:szCs w:val="32"/>
          <w:shd w:val="clear" w:fill="FFFFFF"/>
          <w14:textFill>
            <w14:solidFill>
              <w14:schemeClr w14:val="tx1"/>
            </w14:solidFill>
          </w14:textFill>
        </w:rPr>
        <w:t>提高站位</w:t>
      </w:r>
      <w:r>
        <w:rPr>
          <w:rFonts w:hint="eastAsia" w:ascii="楷体" w:hAnsi="楷体" w:eastAsia="楷体" w:cs="楷体"/>
          <w:i w:val="0"/>
          <w:caps w:val="0"/>
          <w:color w:val="000000" w:themeColor="text1"/>
          <w:spacing w:val="0"/>
          <w:sz w:val="32"/>
          <w:szCs w:val="32"/>
          <w:shd w:val="clear" w:fill="FFFFFF"/>
          <w:lang w:eastAsia="zh-CN"/>
          <w14:textFill>
            <w14:solidFill>
              <w14:schemeClr w14:val="tx1"/>
            </w14:solidFill>
          </w14:textFill>
        </w:rPr>
        <w:t>，</w:t>
      </w:r>
      <w:r>
        <w:rPr>
          <w:rFonts w:hint="eastAsia" w:ascii="楷体" w:hAnsi="楷体" w:eastAsia="楷体" w:cs="楷体"/>
          <w:i w:val="0"/>
          <w:caps w:val="0"/>
          <w:color w:val="000000" w:themeColor="text1"/>
          <w:spacing w:val="0"/>
          <w:sz w:val="32"/>
          <w:szCs w:val="32"/>
          <w:shd w:val="clear" w:fill="FFFFFF"/>
          <w14:textFill>
            <w14:solidFill>
              <w14:schemeClr w14:val="tx1"/>
            </w14:solidFill>
          </w14:textFill>
        </w:rPr>
        <w:t>服务中心工作和全市大局</w:t>
      </w:r>
    </w:p>
    <w:p>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发挥好</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仲裁在民商事领域定纷止争的作用，</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努力拓展服务领域，提高服务水平</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为全市经济建设大局贡献力量</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。一是积极服务实体经济，</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助力实体经济做大做强。联合我市住建局及市建筑施工企业协会、市建筑装饰协会、市房地产协会对全市建筑施工、装饰装修企业以及房地产企业进行法律风险防控培训，促进房地产行业、建筑行业的健康有序发展。二是出台《绵阳仲裁委员会金融案件收费办法》，</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与</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金融</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行业协会、</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大型银行、小贷企业</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等积极研讨建立金融纠纷预防化解机制，助力金融服务实体经济</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健康</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发展。</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三是</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发挥仲裁</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制度</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优势,积极服务军民融合创新发展,</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主动为军民融合企业、军民融合项目提供法律帮助</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。四是</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主动加强与我市投资促进局、各区政府、各工业园区、政府投资平台企业的联系，为其对外投资签订协议提出建设性意见，提高其依法治理和维护自身合法权益的能力，助力我市建设西部现代化强市的战略目标。五是</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积极服务新旧动能转换重大工程，促进创新引领和高质量发展</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为新旧动能转换重大工程营造稳定公平透明可预期的</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法治</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环境</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w:t>
      </w:r>
    </w:p>
    <w:p>
      <w:pPr>
        <w:pStyle w:val="4"/>
        <w:keepNext w:val="0"/>
        <w:keepLines w:val="0"/>
        <w:pageBreakBefore w:val="0"/>
        <w:widowControl w:val="0"/>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楷体" w:hAnsi="楷体" w:eastAsia="楷体" w:cs="楷体"/>
          <w:b w:val="0"/>
          <w:bCs/>
          <w:i w:val="0"/>
          <w:caps w:val="0"/>
          <w:color w:val="000000" w:themeColor="text1"/>
          <w:spacing w:val="0"/>
          <w:kern w:val="0"/>
          <w:sz w:val="32"/>
          <w:szCs w:val="32"/>
          <w:highlight w:val="none"/>
          <w:shd w:val="clear" w:fill="FFFFFF"/>
          <w:lang w:val="en-US" w:eastAsia="zh-CN" w:bidi="ar"/>
          <w14:textFill>
            <w14:solidFill>
              <w14:schemeClr w14:val="tx1"/>
            </w14:solidFill>
          </w14:textFill>
        </w:rPr>
      </w:pPr>
      <w:r>
        <w:rPr>
          <w:rFonts w:hint="eastAsia" w:ascii="楷体" w:hAnsi="楷体" w:eastAsia="楷体" w:cs="楷体"/>
          <w:b w:val="0"/>
          <w:bCs/>
          <w:i w:val="0"/>
          <w:caps w:val="0"/>
          <w:color w:val="000000" w:themeColor="text1"/>
          <w:spacing w:val="0"/>
          <w:kern w:val="0"/>
          <w:sz w:val="32"/>
          <w:szCs w:val="32"/>
          <w:highlight w:val="none"/>
          <w:shd w:val="clear" w:fill="FFFFFF"/>
          <w:lang w:val="en-US" w:eastAsia="zh-CN" w:bidi="ar"/>
          <w14:textFill>
            <w14:solidFill>
              <w14:schemeClr w14:val="tx1"/>
            </w14:solidFill>
          </w14:textFill>
        </w:rPr>
        <w:t>妥善化解社会矛盾，着力营造法治化营商环境</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outlineLvl w:val="9"/>
        <w:rPr>
          <w:rFonts w:hint="eastAsia" w:ascii="仿宋_GB2312" w:hAnsi="仿宋_GB2312" w:eastAsia="仿宋_GB2312" w:cs="仿宋_GB2312"/>
          <w:i w:val="0"/>
          <w:caps w:val="0"/>
          <w:color w:val="auto"/>
          <w:spacing w:val="0"/>
          <w:kern w:val="0"/>
          <w:sz w:val="32"/>
          <w:szCs w:val="32"/>
          <w:highlight w:val="yellow"/>
          <w:shd w:val="clear" w:fill="FFFFFF"/>
          <w:lang w:val="en-US" w:eastAsia="zh-CN" w:bidi="ar"/>
        </w:rPr>
      </w:pPr>
      <w:r>
        <w:rPr>
          <w:rFonts w:hint="eastAsia" w:ascii="仿宋_GB2312" w:hAnsi="仿宋_GB2312" w:eastAsia="仿宋_GB2312" w:cs="仿宋_GB2312"/>
          <w:i w:val="0"/>
          <w:caps w:val="0"/>
          <w:color w:val="000000" w:themeColor="text1"/>
          <w:spacing w:val="0"/>
          <w:kern w:val="0"/>
          <w:sz w:val="32"/>
          <w:szCs w:val="32"/>
          <w:highlight w:val="none"/>
          <w:shd w:val="clear" w:fill="FFFFFF"/>
          <w:lang w:val="en-US" w:eastAsia="zh-CN" w:bidi="ar"/>
          <w14:textFill>
            <w14:solidFill>
              <w14:schemeClr w14:val="tx1"/>
            </w14:solidFill>
          </w14:textFill>
        </w:rPr>
        <w:t>一是依法平等保护不同所有制主体、不同地区市场主体、不同行业利益主体，推动形成平等有序、充满活力的法治化营商环境。</w:t>
      </w:r>
      <w:bookmarkStart w:id="0" w:name="_GoBack"/>
      <w:r>
        <w:rPr>
          <w:rFonts w:hint="eastAsia" w:ascii="仿宋_GB2312" w:hAnsi="仿宋_GB2312" w:eastAsia="仿宋_GB2312" w:cs="仿宋_GB2312"/>
          <w:i w:val="0"/>
          <w:caps w:val="0"/>
          <w:color w:val="000000" w:themeColor="text1"/>
          <w:spacing w:val="0"/>
          <w:kern w:val="0"/>
          <w:sz w:val="32"/>
          <w:szCs w:val="32"/>
          <w:highlight w:val="none"/>
          <w:shd w:val="clear" w:fill="FFFFFF"/>
          <w:lang w:val="en-US" w:eastAsia="zh-CN" w:bidi="ar"/>
          <w14:textFill>
            <w14:solidFill>
              <w14:schemeClr w14:val="tx1"/>
            </w14:solidFill>
          </w14:textFill>
        </w:rPr>
        <w:t>全年共受理各类民商事仲裁案件724件，涉案标的额7.5亿元。全年共审结案件735件（包含上一年度未结案案件）, 其中裁决结案324件，占结案总数的44%，调解结案349件，占结案总数的48%，当事人撤回仲裁申请62件，占结案总数的8%。</w:t>
      </w:r>
      <w:r>
        <w:rPr>
          <w:rFonts w:hint="eastAsia" w:ascii="仿宋_GB2312" w:hAnsi="仿宋_GB2312" w:eastAsia="仿宋_GB2312" w:cs="仿宋_GB2312"/>
          <w:color w:val="000000" w:themeColor="text1"/>
          <w:kern w:val="0"/>
          <w:sz w:val="32"/>
          <w:szCs w:val="32"/>
          <w:highlight w:val="none"/>
          <w:shd w:val="clear" w:fill="FFFFFF"/>
          <w:lang w:bidi="ar"/>
          <w14:textFill>
            <w14:solidFill>
              <w14:schemeClr w14:val="tx1"/>
            </w14:solidFill>
          </w14:textFill>
        </w:rPr>
        <w:t>仲裁裁决被人民法院撤销0件，被人民法院裁定不予执行0件。</w:t>
      </w:r>
      <w:bookmarkEnd w:id="0"/>
      <w:r>
        <w:rPr>
          <w:rFonts w:hint="eastAsia" w:ascii="仿宋_GB2312" w:hAnsi="仿宋_GB2312" w:eastAsia="仿宋_GB2312" w:cs="仿宋_GB2312"/>
          <w:i w:val="0"/>
          <w:caps w:val="0"/>
          <w:color w:val="000000" w:themeColor="text1"/>
          <w:spacing w:val="0"/>
          <w:kern w:val="0"/>
          <w:sz w:val="32"/>
          <w:szCs w:val="32"/>
          <w:highlight w:val="none"/>
          <w:shd w:val="clear" w:fill="FFFFFF"/>
          <w:lang w:val="en-US" w:eastAsia="zh-CN" w:bidi="ar"/>
          <w14:textFill>
            <w14:solidFill>
              <w14:schemeClr w14:val="tx1"/>
            </w14:solidFill>
          </w14:textFill>
        </w:rPr>
        <w:t>案件类型广泛，涉及金融租赁、民间借贷、追偿权、房屋买卖、物业服务、建设工程等。二是尊重和保护市场主体的意思自治，合理判断各类交易模式和交易结构创新的合同效力，促进市场在资源配置中的决定性作用，提升市场经济活力，强化市场主体的契约意识、规则意识和责任意识。三是构建多元化纠纷解决机制，</w:t>
      </w:r>
      <w:r>
        <w:rPr>
          <w:rFonts w:hint="eastAsia" w:ascii="仿宋_GB2312" w:hAnsi="仿宋_GB2312" w:eastAsia="仿宋_GB2312" w:cs="仿宋_GB2312"/>
          <w:i w:val="0"/>
          <w:caps w:val="0"/>
          <w:color w:val="000000" w:themeColor="text1"/>
          <w:spacing w:val="0"/>
          <w:sz w:val="32"/>
          <w:szCs w:val="32"/>
          <w:highlight w:val="none"/>
          <w:shd w:val="clear" w:fill="FFFFFF"/>
          <w:lang w:val="en-US" w:eastAsia="zh-CN"/>
          <w14:textFill>
            <w14:solidFill>
              <w14:schemeClr w14:val="tx1"/>
            </w14:solidFill>
          </w14:textFill>
        </w:rPr>
        <w:t>试行仲裁立案前调解，结合案件纠纷类型，</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在立案前先行组织双方当事人进行调解，发挥仲裁灵活高效解决纠纷的优势，如减少物业纠纷立案数量</w:t>
      </w: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近20%。四是对批量的群体性纠纷案件，建议当事人先就少量案件试行仲裁，待裁决作出后，为双方当事人提供案件争议处理参考，降低纠纷解决的时间成本和经济成本，妥善化解市场主体之间的尖锐矛盾。五是结合企业发展过程中凸显出的普遍性问题以及仲裁案件审理过程中暴露出的普遍性争议，有针对性地开展调研并撰写具有实践借鉴意义的理论实务文章，如《</w:t>
      </w:r>
      <w:r>
        <w:rPr>
          <w:rFonts w:hint="eastAsia" w:ascii="仿宋_GB2312" w:hAnsi="仿宋_GB2312" w:eastAsia="仿宋_GB2312" w:cs="仿宋_GB2312"/>
          <w:color w:val="auto"/>
          <w:kern w:val="0"/>
          <w:sz w:val="32"/>
          <w:szCs w:val="32"/>
          <w:highlight w:val="none"/>
          <w:shd w:val="clear" w:color="auto" w:fill="FFFFFF"/>
          <w:lang w:bidi="ar"/>
        </w:rPr>
        <w:t>不动产抵押未办理抵押登记的责任承担</w:t>
      </w: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w:t>
      </w:r>
      <w:r>
        <w:rPr>
          <w:rFonts w:hint="eastAsia" w:ascii="仿宋_GB2312" w:hAnsi="仿宋_GB2312" w:eastAsia="仿宋_GB2312" w:cs="仿宋_GB2312"/>
          <w:color w:val="auto"/>
          <w:kern w:val="0"/>
          <w:sz w:val="32"/>
          <w:szCs w:val="32"/>
          <w:highlight w:val="none"/>
          <w:shd w:val="clear" w:color="auto" w:fill="FFFFFF"/>
          <w:lang w:bidi="ar"/>
        </w:rPr>
        <w:t>浅析债务期限届满后签订的以物抵债协议</w:t>
      </w: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w:t>
      </w:r>
      <w:r>
        <w:rPr>
          <w:rFonts w:hint="eastAsia" w:ascii="仿宋_GB2312" w:hAnsi="仿宋_GB2312" w:eastAsia="仿宋_GB2312" w:cs="仿宋_GB2312"/>
          <w:color w:val="auto"/>
          <w:kern w:val="0"/>
          <w:sz w:val="32"/>
          <w:szCs w:val="32"/>
          <w:highlight w:val="none"/>
          <w:shd w:val="clear" w:color="auto" w:fill="FFFFFF"/>
          <w:lang w:bidi="ar"/>
        </w:rPr>
        <w:t>诉讼、仲裁程序中的律师费承担问题</w:t>
      </w: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等等。六是秉承仲裁解决问题、化解争端的发展宗旨，对短期内爆发的因行业资金短缺造成的争议纠纷，在切实保障双方当事人合法权益的基础上，加大力度做好调解工作，保障企业顺利过渡，促进市场经济平稳发展。七是践行社会公共法律服务职能，为政府相关部门一起土地出让纠纷提供法律咨询，最终违约方按约履行合同义务并自动承担违约责任，避免了纠纷的进一步扩大，为本地投资环境提供了良好的法律保障。</w:t>
      </w:r>
    </w:p>
    <w:p>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黑体" w:hAnsi="黑体" w:eastAsia="黑体" w:cs="黑体"/>
          <w:b w:val="0"/>
          <w:bCs/>
          <w:i w:val="0"/>
          <w:caps w:val="0"/>
          <w:color w:val="auto"/>
          <w:spacing w:val="0"/>
          <w:sz w:val="32"/>
          <w:szCs w:val="32"/>
          <w:shd w:val="clear" w:fill="FFFFFF"/>
          <w:lang w:val="en-US" w:eastAsia="zh-CN"/>
        </w:rPr>
      </w:pPr>
      <w:r>
        <w:rPr>
          <w:rFonts w:hint="eastAsia" w:ascii="楷体" w:hAnsi="楷体" w:eastAsia="楷体" w:cs="楷体"/>
          <w:b w:val="0"/>
          <w:bCs/>
          <w:i w:val="0"/>
          <w:caps w:val="0"/>
          <w:color w:val="auto"/>
          <w:spacing w:val="0"/>
          <w:sz w:val="32"/>
          <w:szCs w:val="32"/>
          <w:highlight w:val="none"/>
          <w:shd w:val="clear" w:fill="FFFFFF"/>
          <w:lang w:val="en-US" w:eastAsia="zh-CN"/>
        </w:rPr>
        <w:t>（三）履</w:t>
      </w:r>
      <w:r>
        <w:rPr>
          <w:rFonts w:hint="eastAsia" w:ascii="楷体" w:hAnsi="楷体" w:eastAsia="楷体" w:cs="楷体"/>
          <w:b w:val="0"/>
          <w:bCs/>
          <w:i w:val="0"/>
          <w:caps w:val="0"/>
          <w:color w:val="auto"/>
          <w:spacing w:val="0"/>
          <w:sz w:val="32"/>
          <w:szCs w:val="32"/>
          <w:shd w:val="clear" w:fill="FFFFFF"/>
          <w:lang w:val="en-US" w:eastAsia="zh-CN"/>
        </w:rPr>
        <w:t>职尽责，有效推进仲裁工作开展</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outlineLvl w:val="9"/>
        <w:rPr>
          <w:rFonts w:hint="eastAsia" w:ascii="仿宋_GB2312" w:hAnsi="仿宋_GB2312" w:eastAsia="仿宋_GB2312" w:cs="仿宋_GB2312"/>
          <w:b w:val="0"/>
          <w:bCs/>
          <w:i w:val="0"/>
          <w:caps w:val="0"/>
          <w:color w:val="auto"/>
          <w:spacing w:val="0"/>
          <w:sz w:val="32"/>
          <w:szCs w:val="32"/>
          <w:shd w:val="clear" w:fill="FFFFFF"/>
          <w:lang w:val="en-US" w:eastAsia="zh-CN"/>
        </w:rPr>
      </w:pPr>
      <w:r>
        <w:rPr>
          <w:rFonts w:hint="eastAsia" w:ascii="仿宋_GB2312" w:hAnsi="仿宋_GB2312" w:eastAsia="仿宋_GB2312" w:cs="仿宋_GB2312"/>
          <w:color w:val="auto"/>
          <w:sz w:val="32"/>
          <w:szCs w:val="32"/>
          <w:highlight w:val="none"/>
          <w:lang w:val="en-US" w:eastAsia="zh-CN"/>
        </w:rPr>
        <w:t>秉承“持心如衡，以理为平”的仲裁理念，坚持“内抓办案质量，外树仲裁品牌，扩大宣传交流，保持平稳发展”的工作原则，</w:t>
      </w:r>
      <w:r>
        <w:rPr>
          <w:rFonts w:hint="eastAsia" w:ascii="仿宋_GB2312" w:hAnsi="仿宋_GB2312" w:eastAsia="仿宋_GB2312" w:cs="仿宋_GB2312"/>
          <w:i w:val="0"/>
          <w:caps w:val="0"/>
          <w:color w:val="auto"/>
          <w:spacing w:val="0"/>
          <w:kern w:val="0"/>
          <w:sz w:val="32"/>
          <w:szCs w:val="32"/>
          <w:shd w:val="clear" w:fill="FFFFFF"/>
          <w:lang w:val="en-US" w:eastAsia="zh-CN" w:bidi="ar"/>
        </w:rPr>
        <w:t>全面提升审理质效，建立案件受理多样化、纠纷解决多元化机制，探寻诉讼与非诉衔接机制，坚持不懈宣传仲裁制度，持续抓好队伍建设，全面推进仲裁工作开展。</w:t>
      </w:r>
    </w:p>
    <w:p>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eastAsia" w:ascii="仿宋_GB2312" w:hAnsi="仿宋_GB2312" w:eastAsia="仿宋_GB2312" w:cs="仿宋_GB2312"/>
          <w:b w:val="0"/>
          <w:bCs/>
          <w:i w:val="0"/>
          <w:caps w:val="0"/>
          <w:color w:val="auto"/>
          <w:spacing w:val="0"/>
          <w:sz w:val="32"/>
          <w:szCs w:val="32"/>
          <w:shd w:val="clear" w:fill="FFFFFF"/>
          <w:lang w:val="en-US" w:eastAsia="zh-CN"/>
        </w:rPr>
        <w:t>1.凝心聚力提高办案质量和效率。</w:t>
      </w:r>
      <w:r>
        <w:rPr>
          <w:rFonts w:hint="eastAsia" w:ascii="仿宋_GB2312" w:hAnsi="仿宋_GB2312" w:eastAsia="仿宋_GB2312" w:cs="仿宋_GB2312"/>
          <w:i w:val="0"/>
          <w:caps w:val="0"/>
          <w:color w:val="auto"/>
          <w:spacing w:val="0"/>
          <w:sz w:val="32"/>
          <w:szCs w:val="32"/>
          <w:shd w:val="clear" w:fill="FFFFFF"/>
        </w:rPr>
        <w:t>坚定不移落实全面从严治党要求</w:t>
      </w:r>
      <w:r>
        <w:rPr>
          <w:rFonts w:hint="eastAsia" w:ascii="仿宋_GB2312" w:hAnsi="仿宋_GB2312" w:eastAsia="仿宋_GB2312" w:cs="仿宋_GB2312"/>
          <w:i w:val="0"/>
          <w:caps w:val="0"/>
          <w:color w:val="auto"/>
          <w:spacing w:val="0"/>
          <w:sz w:val="32"/>
          <w:szCs w:val="32"/>
          <w:shd w:val="clear" w:fill="FFFFFF"/>
          <w:lang w:eastAsia="zh-CN"/>
        </w:rPr>
        <w:t>，</w:t>
      </w:r>
      <w:r>
        <w:rPr>
          <w:rFonts w:hint="eastAsia" w:ascii="仿宋_GB2312" w:hAnsi="仿宋_GB2312" w:eastAsia="仿宋_GB2312" w:cs="仿宋_GB2312"/>
          <w:i w:val="0"/>
          <w:caps w:val="0"/>
          <w:color w:val="auto"/>
          <w:spacing w:val="0"/>
          <w:sz w:val="32"/>
          <w:szCs w:val="32"/>
          <w:shd w:val="clear" w:fill="FFFFFF"/>
        </w:rPr>
        <w:t>全力推动</w:t>
      </w:r>
      <w:r>
        <w:rPr>
          <w:rFonts w:hint="eastAsia" w:ascii="仿宋_GB2312" w:hAnsi="仿宋_GB2312" w:eastAsia="仿宋_GB2312" w:cs="仿宋_GB2312"/>
          <w:i w:val="0"/>
          <w:caps w:val="0"/>
          <w:color w:val="auto"/>
          <w:spacing w:val="0"/>
          <w:sz w:val="32"/>
          <w:szCs w:val="32"/>
          <w:shd w:val="clear" w:fill="FFFFFF"/>
          <w:lang w:val="en-US" w:eastAsia="zh-CN"/>
        </w:rPr>
        <w:t>案件办理</w:t>
      </w:r>
      <w:r>
        <w:rPr>
          <w:rFonts w:hint="eastAsia" w:ascii="仿宋_GB2312" w:hAnsi="仿宋_GB2312" w:eastAsia="仿宋_GB2312" w:cs="仿宋_GB2312"/>
          <w:i w:val="0"/>
          <w:caps w:val="0"/>
          <w:color w:val="auto"/>
          <w:spacing w:val="0"/>
          <w:sz w:val="32"/>
          <w:szCs w:val="32"/>
          <w:shd w:val="clear" w:fill="FFFFFF"/>
        </w:rPr>
        <w:t>步</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入新轨道、呈现新气象。</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一是</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践行依法公正亲和高效</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的</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服务理念，</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开通微信快速缴费通道，实行案卷材料扫描上传流程，提供</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审查、缴费、立案、送达和保全</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一站式便捷</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服务，</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节省各方时间成本</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。二是加强</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仲裁程序</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管理，严格落实立案、组庭、审理、核阅等各项</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业务工作</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制度，</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充分</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发挥</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仲裁庭庭前合议的</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作用,</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明确案件审理焦点以及审理思路，提高办案效率</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。三是</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开通仲裁员办案系统电脑端和手机端，实现仲裁员无纸化办案，简化阅卷、审理、制作和签发裁决书的流程，降低仲裁员时间成本。四是加强仲裁员业务能力培训</w:t>
      </w:r>
      <w:r>
        <w:rPr>
          <w:rFonts w:hint="eastAsia" w:ascii="仿宋_GB2312" w:hAnsi="仿宋_GB2312" w:eastAsia="仿宋_GB2312" w:cs="仿宋_GB2312"/>
          <w:color w:val="000000" w:themeColor="text1"/>
          <w:sz w:val="32"/>
          <w:szCs w:val="32"/>
          <w:shd w:val="clear" w:fill="FFFFFF"/>
          <w:lang w:val="en-US" w:eastAsia="zh-CN"/>
          <w14:textFill>
            <w14:solidFill>
              <w14:schemeClr w14:val="tx1"/>
            </w14:solidFill>
          </w14:textFill>
        </w:rPr>
        <w:t>，提高本会仲裁员的业务能力以及办案水平，保障仲裁裁决的公正性，提高办案质量。</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五</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是</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不断提升仲裁秘书专业素养，通过</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参加英才苑府法律教育网主办的公司法、民法、建设工程、金融诉讼、房地产等20余期的业务培训、律师协会举办的建设工程、房地产法律业务专题培训、开展仲裁理论与实务研究活动、梳理办案经验和办案方法等方式，不断提高仲裁秘书业务能力，充分发挥仲裁秘书在当事人与仲裁庭之间的桥梁纽带作用，实现信息对称，在确保公正仲裁的基础上实现优质仲裁。</w:t>
      </w:r>
    </w:p>
    <w:p>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outlineLvl w:val="9"/>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shd w:val="clear" w:color="auto" w:fill="FFFFFF"/>
          <w:lang w:val="en-US" w:eastAsia="zh-CN" w:bidi="ar"/>
          <w14:textFill>
            <w14:solidFill>
              <w14:schemeClr w14:val="tx1"/>
            </w14:solidFill>
          </w14:textFill>
        </w:rPr>
        <w:t>2.认真</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贯彻“推行仲裁制度是根本、融入市场经济是关键”的仲裁发展方针，按照省市关于开展“大学习、大讨论、大调研”活动的工作要求，本会开展了系统的走访、宣传、调研活动</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一是</w:t>
      </w:r>
      <w:r>
        <w:rPr>
          <w:rFonts w:hint="eastAsia" w:ascii="仿宋_GB2312" w:hAnsi="仿宋_GB2312" w:eastAsia="仿宋_GB2312" w:cs="仿宋_GB2312"/>
          <w:i w:val="0"/>
          <w:caps w:val="0"/>
          <w:color w:val="auto"/>
          <w:spacing w:val="0"/>
          <w:sz w:val="32"/>
          <w:szCs w:val="32"/>
          <w:shd w:val="clear" w:fill="FFFFFF"/>
          <w:lang w:val="en-US" w:eastAsia="zh-CN"/>
        </w:rPr>
        <w:t>向社会提供</w:t>
      </w:r>
      <w:r>
        <w:rPr>
          <w:rFonts w:hint="eastAsia" w:ascii="仿宋_GB2312" w:hAnsi="仿宋_GB2312" w:eastAsia="仿宋_GB2312" w:cs="仿宋_GB2312"/>
          <w:i w:val="0"/>
          <w:caps w:val="0"/>
          <w:color w:val="auto"/>
          <w:spacing w:val="0"/>
          <w:sz w:val="32"/>
          <w:szCs w:val="32"/>
          <w:shd w:val="clear" w:fill="FFFFFF"/>
        </w:rPr>
        <w:t>服务热线，</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开通立案咨询窗口，</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全方位</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提供</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仲裁法律服务，解答来电来</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访</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咨询</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上千</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次。</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二是</w:t>
      </w:r>
      <w:r>
        <w:rPr>
          <w:rFonts w:hint="eastAsia" w:ascii="仿宋_GB2312" w:hAnsi="仿宋_GB2312" w:eastAsia="仿宋_GB2312" w:cs="仿宋_GB2312"/>
          <w:i w:val="0"/>
          <w:caps w:val="0"/>
          <w:color w:val="auto"/>
          <w:spacing w:val="0"/>
          <w:sz w:val="32"/>
          <w:szCs w:val="32"/>
          <w:shd w:val="clear" w:fill="FFFFFF"/>
          <w:lang w:val="en-US" w:eastAsia="zh-CN"/>
        </w:rPr>
        <w:t>通过邮寄、走访、电子邮件、党政网</w:t>
      </w:r>
      <w:r>
        <w:rPr>
          <w:rFonts w:hint="eastAsia" w:ascii="仿宋_GB2312" w:hAnsi="仿宋_GB2312" w:eastAsia="仿宋_GB2312" w:cs="仿宋_GB2312"/>
          <w:i w:val="0"/>
          <w:caps w:val="0"/>
          <w:color w:val="auto"/>
          <w:spacing w:val="0"/>
          <w:sz w:val="32"/>
          <w:szCs w:val="32"/>
          <w:shd w:val="clear" w:fill="FFFFFF"/>
        </w:rPr>
        <w:t>发送</w:t>
      </w:r>
      <w:r>
        <w:rPr>
          <w:rFonts w:hint="eastAsia" w:ascii="仿宋_GB2312" w:hAnsi="仿宋_GB2312" w:eastAsia="仿宋_GB2312" w:cs="仿宋_GB2312"/>
          <w:i w:val="0"/>
          <w:caps w:val="0"/>
          <w:color w:val="auto"/>
          <w:spacing w:val="0"/>
          <w:sz w:val="32"/>
          <w:szCs w:val="32"/>
          <w:shd w:val="clear" w:fill="FFFFFF"/>
          <w:lang w:eastAsia="zh-CN"/>
        </w:rPr>
        <w:t>《</w:t>
      </w:r>
      <w:r>
        <w:rPr>
          <w:rFonts w:hint="eastAsia" w:ascii="仿宋_GB2312" w:hAnsi="仿宋_GB2312" w:eastAsia="仿宋_GB2312" w:cs="仿宋_GB2312"/>
          <w:i w:val="0"/>
          <w:caps w:val="0"/>
          <w:color w:val="auto"/>
          <w:spacing w:val="0"/>
          <w:sz w:val="32"/>
          <w:szCs w:val="32"/>
          <w:shd w:val="clear" w:fill="FFFFFF"/>
          <w:lang w:val="en-US" w:eastAsia="zh-CN"/>
        </w:rPr>
        <w:t>绵阳仲裁》刊物等</w:t>
      </w:r>
      <w:r>
        <w:rPr>
          <w:rFonts w:hint="eastAsia" w:ascii="仿宋_GB2312" w:hAnsi="仿宋_GB2312" w:eastAsia="仿宋_GB2312" w:cs="仿宋_GB2312"/>
          <w:i w:val="0"/>
          <w:caps w:val="0"/>
          <w:color w:val="auto"/>
          <w:spacing w:val="0"/>
          <w:sz w:val="32"/>
          <w:szCs w:val="32"/>
          <w:shd w:val="clear" w:fill="FFFFFF"/>
        </w:rPr>
        <w:t>宣传资料</w:t>
      </w:r>
      <w:r>
        <w:rPr>
          <w:rFonts w:hint="eastAsia" w:ascii="仿宋_GB2312" w:hAnsi="仿宋_GB2312" w:eastAsia="仿宋_GB2312" w:cs="仿宋_GB2312"/>
          <w:i w:val="0"/>
          <w:caps w:val="0"/>
          <w:color w:val="auto"/>
          <w:spacing w:val="0"/>
          <w:sz w:val="32"/>
          <w:szCs w:val="32"/>
          <w:shd w:val="clear" w:fill="FFFFFF"/>
          <w:lang w:eastAsia="zh-CN"/>
        </w:rPr>
        <w:t>上万</w:t>
      </w:r>
      <w:r>
        <w:rPr>
          <w:rFonts w:hint="eastAsia" w:ascii="仿宋_GB2312" w:hAnsi="仿宋_GB2312" w:eastAsia="仿宋_GB2312" w:cs="仿宋_GB2312"/>
          <w:i w:val="0"/>
          <w:caps w:val="0"/>
          <w:color w:val="auto"/>
          <w:spacing w:val="0"/>
          <w:sz w:val="32"/>
          <w:szCs w:val="32"/>
          <w:shd w:val="clear" w:fill="FFFFFF"/>
        </w:rPr>
        <w:t>份。</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三是通过</w:t>
      </w:r>
      <w:r>
        <w:rPr>
          <w:rFonts w:hint="eastAsia" w:ascii="仿宋_GB2312" w:hAnsi="仿宋_GB2312" w:eastAsia="仿宋_GB2312" w:cs="仿宋_GB2312"/>
          <w:i w:val="0"/>
          <w:caps w:val="0"/>
          <w:color w:val="auto"/>
          <w:spacing w:val="0"/>
          <w:sz w:val="32"/>
          <w:szCs w:val="32"/>
          <w:shd w:val="clear" w:fill="FFFFFF"/>
          <w:lang w:val="en-US" w:eastAsia="zh-CN"/>
        </w:rPr>
        <w:t>自媒体平台</w:t>
      </w:r>
      <w:r>
        <w:rPr>
          <w:rFonts w:hint="eastAsia" w:ascii="仿宋_GB2312" w:hAnsi="仿宋_GB2312" w:eastAsia="仿宋_GB2312" w:cs="仿宋_GB2312"/>
          <w:i w:val="0"/>
          <w:caps w:val="0"/>
          <w:color w:val="auto"/>
          <w:spacing w:val="0"/>
          <w:sz w:val="32"/>
          <w:szCs w:val="32"/>
          <w:shd w:val="clear" w:fill="FFFFFF"/>
        </w:rPr>
        <w:t>、</w:t>
      </w:r>
      <w:r>
        <w:rPr>
          <w:rFonts w:hint="eastAsia" w:ascii="仿宋_GB2312" w:hAnsi="仿宋_GB2312" w:eastAsia="仿宋_GB2312" w:cs="仿宋_GB2312"/>
          <w:i w:val="0"/>
          <w:caps w:val="0"/>
          <w:color w:val="auto"/>
          <w:spacing w:val="0"/>
          <w:sz w:val="32"/>
          <w:szCs w:val="32"/>
          <w:shd w:val="clear" w:fill="FFFFFF"/>
          <w:lang w:val="en-US" w:eastAsia="zh-CN"/>
        </w:rPr>
        <w:t>官方</w:t>
      </w:r>
      <w:r>
        <w:rPr>
          <w:rFonts w:hint="eastAsia" w:ascii="仿宋_GB2312" w:hAnsi="仿宋_GB2312" w:eastAsia="仿宋_GB2312" w:cs="仿宋_GB2312"/>
          <w:i w:val="0"/>
          <w:caps w:val="0"/>
          <w:color w:val="auto"/>
          <w:spacing w:val="0"/>
          <w:sz w:val="32"/>
          <w:szCs w:val="32"/>
          <w:shd w:val="clear" w:fill="FFFFFF"/>
        </w:rPr>
        <w:t>网站推送登载</w:t>
      </w:r>
      <w:r>
        <w:rPr>
          <w:rFonts w:hint="eastAsia" w:ascii="仿宋_GB2312" w:hAnsi="仿宋_GB2312" w:eastAsia="仿宋_GB2312" w:cs="仿宋_GB2312"/>
          <w:i w:val="0"/>
          <w:caps w:val="0"/>
          <w:color w:val="auto"/>
          <w:spacing w:val="0"/>
          <w:sz w:val="32"/>
          <w:szCs w:val="32"/>
          <w:shd w:val="clear" w:fill="FFFFFF"/>
          <w:lang w:val="en-US" w:eastAsia="zh-CN"/>
        </w:rPr>
        <w:t>仲裁动态及理论实务研究</w:t>
      </w:r>
      <w:r>
        <w:rPr>
          <w:rFonts w:hint="eastAsia" w:ascii="仿宋_GB2312" w:hAnsi="仿宋_GB2312" w:eastAsia="仿宋_GB2312" w:cs="仿宋_GB2312"/>
          <w:i w:val="0"/>
          <w:caps w:val="0"/>
          <w:color w:val="auto"/>
          <w:spacing w:val="0"/>
          <w:sz w:val="32"/>
          <w:szCs w:val="32"/>
          <w:shd w:val="clear" w:fill="FFFFFF"/>
        </w:rPr>
        <w:t>文章</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62篇，点击阅读</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量达</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14878人次。</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四是组织</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工作人员</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走进政府机构、企事业单位、商会、协会，提供</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法律咨询服务</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160</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余次</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五是多次</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组织</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仲裁</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专家</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团队</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面向社会各界举办仲裁法律讲座，</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宣传推行仲裁法律制度，参加培训人员达440余人次。六</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是</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与</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金融</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建筑等多个行业的企业进行</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座谈</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交流，对企业提出的法律问题进行答疑解惑，并就如何有效防范企业法律风险提供了专业参考意见，同时也向各走访单位</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征求意见建议，</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不断</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改进</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仲裁</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服务</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方式</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3.</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破除思想障碍、观念束缚，不断</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推进仲裁机构建设</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和机制创新</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一是</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与人民法院建立联动机制，</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共与市中级人民法院召开4次业务研讨会，1次联席会，深入讨论仲裁案件司法审查范围、标准以及程序，起草并审议《关于加强诉讼和仲裁衔接机制的若干意见（讨论稿）》，统一审查尺度；共同出台《关于做好仲裁与执行工作协调配合的意见》，促进仲裁案件立案、审理与人民法院执行工作的顺利衔接和高效运行。二是针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省发改委、省司法厅《关于规范律师法律服务收费管理有关问题的通知》（</w:t>
      </w:r>
      <w:r>
        <w:rPr>
          <w:rFonts w:hint="eastAsia" w:ascii="仿宋_GB2312" w:hAnsi="仿宋_GB2312" w:eastAsia="仿宋_GB2312" w:cs="仿宋_GB2312"/>
          <w:b w:val="0"/>
          <w:i w:val="0"/>
          <w:caps w:val="0"/>
          <w:color w:val="333333"/>
          <w:spacing w:val="0"/>
          <w:sz w:val="32"/>
          <w:szCs w:val="32"/>
          <w:shd w:val="clear" w:fill="FFFFFF"/>
        </w:rPr>
        <w:t>川发改价格〔2018〕93号</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市律师协会、市中级人民法院共同探讨诉讼及仲裁案件中对律师费的审查与认定，并结合本地区的实际情况明确了律师费裁判标准。</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三是打破地域限制，积极交流，参加中国仲裁高峰论坛、中等城市仲裁机构发展高端论坛、中国仲裁法学研究会仲裁与司法论坛等大型仲裁会议，学习先进经验，掌握新时代仲裁服务的新举措、新方向，共同研究仲裁法律实践中的新问题，结合本会实际探索仲裁工作发展的新思路。与来访的榆树市政协、巴中仲裁委员会进行交流学习，不断优化工作方式。</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i w:val="0"/>
          <w:caps w:val="0"/>
          <w:color w:val="242424"/>
          <w:spacing w:val="0"/>
          <w:sz w:val="32"/>
          <w:szCs w:val="32"/>
          <w:shd w:val="clear" w:fill="FFFFFF"/>
          <w:lang w:eastAsia="zh-CN"/>
        </w:rPr>
        <w:t>4</w:t>
      </w:r>
      <w:r>
        <w:rPr>
          <w:rFonts w:hint="eastAsia" w:ascii="仿宋_GB2312" w:hAnsi="仿宋_GB2312" w:eastAsia="仿宋_GB2312" w:cs="仿宋_GB2312"/>
          <w:i w:val="0"/>
          <w:caps w:val="0"/>
          <w:color w:val="242424"/>
          <w:spacing w:val="0"/>
          <w:sz w:val="32"/>
          <w:szCs w:val="32"/>
          <w:shd w:val="clear" w:fill="FFFFFF"/>
          <w:lang w:val="en-US" w:eastAsia="zh-CN"/>
        </w:rPr>
        <w:t>.</w:t>
      </w:r>
      <w:r>
        <w:rPr>
          <w:rFonts w:hint="eastAsia" w:ascii="仿宋_GB2312" w:hAnsi="仿宋_GB2312" w:eastAsia="仿宋_GB2312" w:cs="仿宋_GB2312"/>
          <w:i w:val="0"/>
          <w:caps w:val="0"/>
          <w:color w:val="auto"/>
          <w:spacing w:val="0"/>
          <w:sz w:val="32"/>
          <w:szCs w:val="32"/>
          <w:shd w:val="clear" w:fill="FFFFFF"/>
        </w:rPr>
        <w:t>大力加强</w:t>
      </w:r>
      <w:r>
        <w:rPr>
          <w:rFonts w:hint="eastAsia" w:ascii="仿宋_GB2312" w:hAnsi="仿宋_GB2312" w:eastAsia="仿宋_GB2312" w:cs="仿宋_GB2312"/>
          <w:i w:val="0"/>
          <w:caps w:val="0"/>
          <w:color w:val="auto"/>
          <w:spacing w:val="0"/>
          <w:sz w:val="32"/>
          <w:szCs w:val="32"/>
          <w:shd w:val="clear" w:fill="FFFFFF"/>
          <w:lang w:val="en-US" w:eastAsia="zh-CN"/>
        </w:rPr>
        <w:t>仲裁</w:t>
      </w:r>
      <w:r>
        <w:rPr>
          <w:rFonts w:hint="eastAsia" w:ascii="仿宋_GB2312" w:hAnsi="仿宋_GB2312" w:eastAsia="仿宋_GB2312" w:cs="仿宋_GB2312"/>
          <w:i w:val="0"/>
          <w:caps w:val="0"/>
          <w:color w:val="auto"/>
          <w:spacing w:val="0"/>
          <w:sz w:val="32"/>
          <w:szCs w:val="32"/>
          <w:shd w:val="clear" w:fill="FFFFFF"/>
        </w:rPr>
        <w:t>队伍建设，形成新风</w:t>
      </w:r>
      <w:r>
        <w:rPr>
          <w:rFonts w:hint="eastAsia" w:ascii="仿宋_GB2312" w:hAnsi="仿宋_GB2312" w:eastAsia="仿宋_GB2312" w:cs="仿宋_GB2312"/>
          <w:i w:val="0"/>
          <w:caps w:val="0"/>
          <w:color w:val="auto"/>
          <w:spacing w:val="0"/>
          <w:sz w:val="32"/>
          <w:szCs w:val="32"/>
          <w:shd w:val="clear" w:fill="FFFFFF"/>
          <w:lang w:val="en-US" w:eastAsia="zh-CN"/>
        </w:rPr>
        <w:t>正气</w:t>
      </w:r>
      <w:r>
        <w:rPr>
          <w:rFonts w:hint="eastAsia" w:ascii="仿宋_GB2312" w:hAnsi="仿宋_GB2312" w:eastAsia="仿宋_GB2312" w:cs="仿宋_GB2312"/>
          <w:i w:val="0"/>
          <w:caps w:val="0"/>
          <w:color w:val="242424"/>
          <w:spacing w:val="0"/>
          <w:sz w:val="32"/>
          <w:szCs w:val="32"/>
          <w:shd w:val="clear" w:fill="FFFFFF"/>
          <w:lang w:eastAsia="zh-CN"/>
        </w:rPr>
        <w:t>。</w:t>
      </w:r>
      <w:r>
        <w:rPr>
          <w:rFonts w:hint="eastAsia" w:ascii="仿宋_GB2312" w:hAnsi="仿宋_GB2312" w:eastAsia="仿宋_GB2312" w:cs="仿宋_GB2312"/>
          <w:i w:val="0"/>
          <w:caps w:val="0"/>
          <w:color w:val="auto"/>
          <w:spacing w:val="0"/>
          <w:sz w:val="32"/>
          <w:szCs w:val="32"/>
          <w:shd w:val="clear" w:fill="FFFFFF"/>
          <w:lang w:val="en-US" w:eastAsia="zh-CN"/>
        </w:rPr>
        <w:t>对仲裁员和仲裁工作人员</w:t>
      </w:r>
      <w:r>
        <w:rPr>
          <w:rFonts w:hint="eastAsia" w:ascii="仿宋_GB2312" w:hAnsi="仿宋_GB2312" w:eastAsia="仿宋_GB2312" w:cs="仿宋_GB2312"/>
          <w:i w:val="0"/>
          <w:caps w:val="0"/>
          <w:color w:val="auto"/>
          <w:spacing w:val="0"/>
          <w:sz w:val="32"/>
          <w:szCs w:val="32"/>
          <w:shd w:val="clear" w:fill="FFFFFF"/>
        </w:rPr>
        <w:t>，在素质能力、思想品格、文化境界上下工夫，把</w:t>
      </w:r>
      <w:r>
        <w:rPr>
          <w:rFonts w:hint="eastAsia" w:ascii="仿宋_GB2312" w:hAnsi="仿宋_GB2312" w:eastAsia="仿宋_GB2312" w:cs="仿宋_GB2312"/>
          <w:i w:val="0"/>
          <w:caps w:val="0"/>
          <w:color w:val="auto"/>
          <w:spacing w:val="0"/>
          <w:sz w:val="32"/>
          <w:szCs w:val="32"/>
          <w:shd w:val="clear" w:fill="FFFFFF"/>
          <w:lang w:val="en-US" w:eastAsia="zh-CN"/>
        </w:rPr>
        <w:t>党风</w:t>
      </w:r>
      <w:r>
        <w:rPr>
          <w:rFonts w:hint="eastAsia" w:ascii="仿宋_GB2312" w:hAnsi="仿宋_GB2312" w:eastAsia="仿宋_GB2312" w:cs="仿宋_GB2312"/>
          <w:i w:val="0"/>
          <w:caps w:val="0"/>
          <w:color w:val="auto"/>
          <w:spacing w:val="0"/>
          <w:sz w:val="32"/>
          <w:szCs w:val="32"/>
          <w:shd w:val="clear" w:fill="FFFFFF"/>
        </w:rPr>
        <w:t>廉政建设作为队伍建设的重中之重来抓</w:t>
      </w:r>
      <w:r>
        <w:rPr>
          <w:rFonts w:hint="eastAsia" w:ascii="仿宋_GB2312" w:hAnsi="仿宋_GB2312" w:eastAsia="仿宋_GB2312" w:cs="仿宋_GB2312"/>
          <w:i w:val="0"/>
          <w:caps w:val="0"/>
          <w:color w:val="auto"/>
          <w:spacing w:val="0"/>
          <w:sz w:val="32"/>
          <w:szCs w:val="32"/>
          <w:shd w:val="clear" w:fill="FFFFFF"/>
          <w:lang w:eastAsia="zh-CN"/>
        </w:rPr>
        <w:t>。</w:t>
      </w:r>
      <w:r>
        <w:rPr>
          <w:rFonts w:hint="eastAsia" w:ascii="仿宋_GB2312" w:hAnsi="仿宋_GB2312" w:eastAsia="仿宋_GB2312" w:cs="仿宋_GB2312"/>
          <w:i w:val="0"/>
          <w:caps w:val="0"/>
          <w:color w:val="auto"/>
          <w:spacing w:val="0"/>
          <w:sz w:val="32"/>
          <w:szCs w:val="32"/>
          <w:shd w:val="clear" w:fill="FFFFFF"/>
          <w:lang w:val="en-US" w:eastAsia="zh-CN"/>
        </w:rPr>
        <w:t>一是</w:t>
      </w:r>
      <w:r>
        <w:rPr>
          <w:rFonts w:hint="eastAsia" w:ascii="仿宋_GB2312" w:hAnsi="仿宋_GB2312" w:eastAsia="仿宋_GB2312" w:cs="仿宋_GB2312"/>
          <w:i w:val="0"/>
          <w:caps w:val="0"/>
          <w:color w:val="auto"/>
          <w:spacing w:val="0"/>
          <w:sz w:val="32"/>
          <w:szCs w:val="32"/>
          <w:shd w:val="clear" w:fill="FFFFFF"/>
        </w:rPr>
        <w:t>强化内控管理，</w:t>
      </w:r>
      <w:r>
        <w:rPr>
          <w:rFonts w:hint="eastAsia" w:ascii="仿宋_GB2312" w:hAnsi="仿宋_GB2312" w:eastAsia="仿宋_GB2312" w:cs="仿宋_GB2312"/>
          <w:i w:val="0"/>
          <w:caps w:val="0"/>
          <w:color w:val="auto"/>
          <w:spacing w:val="0"/>
          <w:sz w:val="32"/>
          <w:szCs w:val="32"/>
          <w:shd w:val="clear" w:fill="FFFFFF"/>
          <w:lang w:val="en-US" w:eastAsia="zh-CN"/>
        </w:rPr>
        <w:t>建立廉政风险防控机制，</w:t>
      </w:r>
      <w:r>
        <w:rPr>
          <w:rFonts w:hint="eastAsia" w:ascii="仿宋_GB2312" w:hAnsi="仿宋_GB2312" w:eastAsia="仿宋_GB2312" w:cs="仿宋_GB2312"/>
          <w:i w:val="0"/>
          <w:caps w:val="0"/>
          <w:color w:val="auto"/>
          <w:spacing w:val="0"/>
          <w:sz w:val="32"/>
          <w:szCs w:val="32"/>
          <w:shd w:val="clear" w:fill="FFFFFF"/>
        </w:rPr>
        <w:t>深入开展</w:t>
      </w:r>
      <w:r>
        <w:rPr>
          <w:rFonts w:hint="eastAsia" w:ascii="仿宋_GB2312" w:hAnsi="仿宋_GB2312" w:eastAsia="仿宋_GB2312" w:cs="仿宋_GB2312"/>
          <w:i w:val="0"/>
          <w:caps w:val="0"/>
          <w:color w:val="auto"/>
          <w:spacing w:val="0"/>
          <w:sz w:val="32"/>
          <w:szCs w:val="32"/>
          <w:shd w:val="clear" w:fill="FFFFFF"/>
          <w:lang w:val="en-US" w:eastAsia="zh-CN"/>
        </w:rPr>
        <w:t>廉政</w:t>
      </w:r>
      <w:r>
        <w:rPr>
          <w:rFonts w:hint="eastAsia" w:ascii="仿宋_GB2312" w:hAnsi="仿宋_GB2312" w:eastAsia="仿宋_GB2312" w:cs="仿宋_GB2312"/>
          <w:i w:val="0"/>
          <w:caps w:val="0"/>
          <w:color w:val="auto"/>
          <w:spacing w:val="0"/>
          <w:sz w:val="32"/>
          <w:szCs w:val="32"/>
          <w:shd w:val="clear" w:fill="FFFFFF"/>
        </w:rPr>
        <w:t>风险评估和岗位廉政风险防控工作，排查风险</w:t>
      </w:r>
      <w:r>
        <w:rPr>
          <w:rFonts w:hint="eastAsia" w:ascii="仿宋_GB2312" w:hAnsi="仿宋_GB2312" w:eastAsia="仿宋_GB2312" w:cs="仿宋_GB2312"/>
          <w:i w:val="0"/>
          <w:caps w:val="0"/>
          <w:color w:val="auto"/>
          <w:spacing w:val="0"/>
          <w:sz w:val="32"/>
          <w:szCs w:val="32"/>
          <w:shd w:val="clear" w:fill="FFFFFF"/>
          <w:lang w:val="en-US" w:eastAsia="zh-CN"/>
        </w:rPr>
        <w:t>点</w:t>
      </w:r>
      <w:r>
        <w:rPr>
          <w:rFonts w:hint="eastAsia" w:ascii="仿宋_GB2312" w:hAnsi="仿宋_GB2312" w:eastAsia="仿宋_GB2312" w:cs="仿宋_GB2312"/>
          <w:i w:val="0"/>
          <w:caps w:val="0"/>
          <w:color w:val="auto"/>
          <w:spacing w:val="0"/>
          <w:sz w:val="32"/>
          <w:szCs w:val="32"/>
          <w:shd w:val="clear" w:fill="FFFFFF"/>
        </w:rPr>
        <w:t>，制定防控措施，下大力气抓好党风廉政建设</w:t>
      </w:r>
      <w:r>
        <w:rPr>
          <w:rFonts w:hint="eastAsia" w:ascii="仿宋_GB2312" w:hAnsi="仿宋_GB2312" w:eastAsia="仿宋_GB2312" w:cs="仿宋_GB2312"/>
          <w:i w:val="0"/>
          <w:caps w:val="0"/>
          <w:color w:val="auto"/>
          <w:spacing w:val="0"/>
          <w:sz w:val="32"/>
          <w:szCs w:val="32"/>
          <w:shd w:val="clear" w:fill="FFFFFF"/>
          <w:lang w:val="en-US" w:eastAsia="zh-CN"/>
        </w:rPr>
        <w:t>工作</w:t>
      </w:r>
      <w:r>
        <w:rPr>
          <w:rFonts w:hint="eastAsia" w:ascii="仿宋_GB2312" w:hAnsi="仿宋_GB2312" w:eastAsia="仿宋_GB2312" w:cs="仿宋_GB2312"/>
          <w:i w:val="0"/>
          <w:caps w:val="0"/>
          <w:color w:val="auto"/>
          <w:spacing w:val="0"/>
          <w:sz w:val="32"/>
          <w:szCs w:val="32"/>
          <w:shd w:val="clear" w:fill="FFFFFF"/>
        </w:rPr>
        <w:t>。</w:t>
      </w:r>
      <w:r>
        <w:rPr>
          <w:rFonts w:hint="eastAsia" w:ascii="仿宋_GB2312" w:hAnsi="仿宋_GB2312" w:eastAsia="仿宋_GB2312" w:cs="仿宋_GB2312"/>
          <w:i w:val="0"/>
          <w:caps w:val="0"/>
          <w:color w:val="auto"/>
          <w:spacing w:val="0"/>
          <w:sz w:val="32"/>
          <w:szCs w:val="32"/>
          <w:shd w:val="clear" w:fill="FFFFFF"/>
          <w:lang w:val="en-US" w:eastAsia="zh-CN"/>
        </w:rPr>
        <w:t>二是加强仲裁员道德建设、廉政风险的监管，注意防范日常办案工作中的廉政风险，严格实施仲裁员准入和退出机制。</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三是</w:t>
      </w:r>
      <w:r>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t>坚持“抓党建、带队建、促裁判”的工作思路，</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深入开展解放思想大讨论，不断提升</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仲裁</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队伍的思想境界、发展理念、服务意识、工作标准，激励</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履职</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担当作为。</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三、2019年工作展望</w:t>
      </w:r>
    </w:p>
    <w:p>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回首过去一年的工作，我们清醒</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地认识到，仲裁工作在</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办案质量和效率、走进人民群众</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、服务市场主体以及宣传推行力度等方面</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还有较大的提升空间，与市场主体对仲裁的需求、我市经济发展大局、建设中国科技城和西部现代化强市的要求还有很大的差距。2019年，我们将坚定“持心如衡、以理为平”的发展理念，以习近平总书记新时代中国特色社会主义思想</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指导实践，脚踏实地，砥砺前行，全面做好各项工作，为我市建设中国科技城、西部现代</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化</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xml:space="preserve">强市做出新贡献。   </w:t>
      </w:r>
    </w:p>
    <w:p>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一是政治建设再强化。坚持和加强党的全面领导，坚定不移全面从严治党，旗帜鲜明讲政治。进一步增强“四个意识”，坚定“四个自信”，做到维护核心、绝对忠诚、勇于担当。</w:t>
      </w:r>
    </w:p>
    <w:p>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二是办案工作再攻坚。裁判质效是衡量我们履行社会职责、化解纠纷、队伍建设等方面工作成效的重要标尺。要切实加强裁判质量、效率、效果，努力抓重点、补短板、强弱项，保证程序和实体正义。</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是仲裁为民再落实。坚持以人民为中心思想，紧紧围绕“让人民群众在每一个案件中感受到公平正义”的工作目标，让群众有更多的获得感。大力推进仲裁宣传工作，听取人民群众的声音，解人民之所难、供人民之所需。</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完善“调裁结合”纠纷解决机制，积极促进矛盾纠纷解决，服务人民。</w:t>
      </w:r>
    </w:p>
    <w:p>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四是队伍建设再提高。队伍建设事关仲裁工作成败，要把本会仲裁员及工作人员的思想统一起来，把智慧和力量凝聚到仲裁工作推进上来，全面加强专业化、职业化建设，努力建设一支信念坚定、业务过硬、敢于担当、清正廉洁的仲裁队伍。</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五是重点工作再推进。</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在服务</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全市</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大局、积极作为上狠下功夫。围绕</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供给侧结构性改革、</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新旧动能转换重大工程、军民融合创新示范区建设</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中国科技城建设</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和</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西部现代化强市建设等</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全市中心工作，不断提升仲裁服务水平，为优化我市营商环境作出积极贡献</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与此同时突出自身</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特色、打造</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绵阳仲裁</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品牌</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突出</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金融贸易、</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知识产权、互联网等</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行</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业</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的</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仲裁优势，以专业化、个性化仲裁服务，不断提升</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绵阳</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仲裁的</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社会公信力</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w:t>
      </w:r>
    </w:p>
    <w:p>
      <w:pPr>
        <w:pStyle w:val="4"/>
        <w:numPr>
          <w:ilvl w:val="0"/>
          <w:numId w:val="0"/>
        </w:numPr>
        <w:pBdr>
          <w:top w:val="none" w:color="auto" w:sz="0" w:space="0"/>
          <w:left w:val="none" w:color="auto" w:sz="0" w:space="0"/>
          <w:bottom w:val="none" w:color="auto" w:sz="0" w:space="0"/>
          <w:right w:val="none" w:color="auto" w:sz="0" w:space="0"/>
        </w:pBdr>
        <w:spacing w:beforeAutospacing="0" w:afterAutospacing="0" w:line="58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六是创新改革再深入。</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在创新发展</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优化办案方法上下功夫</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。顺应互联网发展趋势，研发与电子商务、互联网金融等平台对接的互联网仲裁办案服务平台，实现网上立案、审理、裁决和送达，线上线下协同发展，切实提高仲裁效率，降低仲裁成本，</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为当事人降低纠纷解决成本</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w:t>
      </w:r>
    </w:p>
    <w:sectPr>
      <w:footerReference r:id="rId3" w:type="default"/>
      <w:footerReference r:id="rId4" w:type="even"/>
      <w:pgSz w:w="11906" w:h="16838"/>
      <w:pgMar w:top="1984" w:right="1531" w:bottom="1984" w:left="1531" w:header="851" w:footer="1644" w:gutter="0"/>
      <w:pgNumType w:fmt="numberInDash"/>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90"/>
      <w:jc w:val="right"/>
      <w:rPr>
        <w:rFonts w:asciiTheme="minorEastAsia" w:hAnsiTheme="minorEastAsia"/>
        <w:sz w:val="28"/>
        <w:szCs w:val="28"/>
      </w:rPr>
    </w:pPr>
  </w:p>
  <w:p>
    <w:pPr>
      <w:pStyle w:val="3"/>
      <w:rPr>
        <w:rFonts w:asciiTheme="minorEastAsia" w:hAnsiTheme="minorEastAsia" w:cstheme="minorEastAsia"/>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54610</wp:posOffset>
              </wp:positionV>
              <wp:extent cx="1828800" cy="328295"/>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328295"/>
                      </a:xfrm>
                      <a:prstGeom prst="rect">
                        <a:avLst/>
                      </a:prstGeom>
                      <a:noFill/>
                      <a:ln w="9525">
                        <a:noFill/>
                      </a:ln>
                    </wps:spPr>
                    <wps:txbx>
                      <w:txbxContent>
                        <w:sdt>
                          <w:sdtPr>
                            <w:id w:val="1493359"/>
                          </w:sdtPr>
                          <w:sdtEndPr>
                            <w:rPr>
                              <w:rFonts w:asciiTheme="minorEastAsia" w:hAnsiTheme="minorEastAsia"/>
                              <w:sz w:val="28"/>
                              <w:szCs w:val="28"/>
                            </w:rPr>
                          </w:sdtEndPr>
                          <w:sdtContent>
                            <w:p>
                              <w:pPr>
                                <w:pStyle w:val="3"/>
                                <w:ind w:right="90"/>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5 -</w:t>
                              </w:r>
                              <w:r>
                                <w:rPr>
                                  <w:rFonts w:asciiTheme="minorEastAsia" w:hAnsiTheme="minorEastAsia"/>
                                  <w:sz w:val="28"/>
                                  <w:szCs w:val="28"/>
                                </w:rPr>
                                <w:fldChar w:fldCharType="end"/>
                              </w:r>
                              <w:r>
                                <w:rPr>
                                  <w:rFonts w:hint="eastAsia" w:asciiTheme="minorEastAsia" w:hAnsiTheme="minorEastAsia"/>
                                  <w:sz w:val="28"/>
                                  <w:szCs w:val="28"/>
                                </w:rPr>
                                <w:t xml:space="preserve"> </w:t>
                              </w:r>
                            </w:p>
                          </w:sdtContent>
                        </w:sdt>
                        <w:p>
                          <w:pPr>
                            <w:rPr>
                              <w:rFonts w:asciiTheme="minorEastAsia" w:hAnsiTheme="minorEastAsia"/>
                              <w:sz w:val="28"/>
                              <w:szCs w:val="28"/>
                            </w:rPr>
                          </w:pPr>
                        </w:p>
                      </w:txbxContent>
                    </wps:txbx>
                    <wps:bodyPr wrap="none" lIns="0" tIns="0" rIns="0" bIns="0" upright="0"/>
                  </wps:wsp>
                </a:graphicData>
              </a:graphic>
            </wp:anchor>
          </w:drawing>
        </mc:Choice>
        <mc:Fallback>
          <w:pict>
            <v:shape id="文本框 1" o:spid="_x0000_s1026" o:spt="202" type="#_x0000_t202" style="position:absolute;left:0pt;margin-top:4.3pt;height:25.85pt;width:144pt;mso-position-horizontal:outside;mso-position-horizontal-relative:margin;mso-wrap-style:none;z-index:251658240;mso-width-relative:page;mso-height-relative:page;" filled="f" stroked="f" coordsize="21600,21600" o:gfxdata="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Akd2TTSAAAABQEA&#10;AA8AAAAAAAAAAQAgAAAAIgAAAGRycy9kb3ducmV2LnhtbFBLAQIUABQAAAAIAIdO4kBMvxiNrgEA&#10;ADkDAAAOAAAAAAAAAAEAIAAAACEBAABkcnMvZTJvRG9jLnhtbFBLBQYAAAAABgAGAFkBAABBBQAA&#10;AAA=&#10;">
              <v:fill on="f" focussize="0,0"/>
              <v:stroke on="f"/>
              <v:imagedata o:title=""/>
              <o:lock v:ext="edit" aspectratio="f"/>
              <v:textbox inset="0mm,0mm,0mm,0mm">
                <w:txbxContent>
                  <w:sdt>
                    <w:sdtPr>
                      <w:id w:val="1493359"/>
                    </w:sdtPr>
                    <w:sdtEndPr>
                      <w:rPr>
                        <w:rFonts w:asciiTheme="minorEastAsia" w:hAnsiTheme="minorEastAsia"/>
                        <w:sz w:val="28"/>
                        <w:szCs w:val="28"/>
                      </w:rPr>
                    </w:sdtEndPr>
                    <w:sdtContent>
                      <w:p>
                        <w:pPr>
                          <w:pStyle w:val="3"/>
                          <w:ind w:right="90"/>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5 -</w:t>
                        </w:r>
                        <w:r>
                          <w:rPr>
                            <w:rFonts w:asciiTheme="minorEastAsia" w:hAnsiTheme="minorEastAsia"/>
                            <w:sz w:val="28"/>
                            <w:szCs w:val="28"/>
                          </w:rPr>
                          <w:fldChar w:fldCharType="end"/>
                        </w:r>
                        <w:r>
                          <w:rPr>
                            <w:rFonts w:hint="eastAsia" w:asciiTheme="minorEastAsia" w:hAnsiTheme="minorEastAsia"/>
                            <w:sz w:val="28"/>
                            <w:szCs w:val="28"/>
                          </w:rPr>
                          <w:t xml:space="preserve"> </w:t>
                        </w:r>
                      </w:p>
                    </w:sdtContent>
                  </w:sdt>
                  <w:p>
                    <w:pPr>
                      <w:rPr>
                        <w:rFonts w:asciiTheme="minorEastAsia" w:hAnsiTheme="minorEastAsia"/>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90" w:firstLineChars="5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sdt>
                          <w:sdtPr>
                            <w:id w:val="1493358"/>
                          </w:sdtPr>
                          <w:sdtContent>
                            <w:p>
                              <w:pPr>
                                <w:pStyle w:val="3"/>
                                <w:ind w:firstLine="90" w:firstLineChars="50"/>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4 -</w:t>
                              </w:r>
                              <w:r>
                                <w:rPr>
                                  <w:rFonts w:asciiTheme="minorEastAsia" w:hAnsiTheme="minorEastAsia"/>
                                  <w:sz w:val="28"/>
                                  <w:szCs w:val="28"/>
                                </w:rPr>
                                <w:fldChar w:fldCharType="end"/>
                              </w:r>
                            </w:p>
                          </w:sdtContent>
                        </w:sdt>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AU&#10;ubsptwEAAFQDAAAOAAAAAAAAAAEAIAAAAB4BAABkcnMvZTJvRG9jLnhtbFBLBQYAAAAABgAGAFkB&#10;AABHBQAAAAA=&#10;">
              <v:fill on="f" focussize="0,0"/>
              <v:stroke on="f"/>
              <v:imagedata o:title=""/>
              <o:lock v:ext="edit" aspectratio="f"/>
              <v:textbox inset="0mm,0mm,0mm,0mm" style="mso-fit-shape-to-text:t;">
                <w:txbxContent>
                  <w:sdt>
                    <w:sdtPr>
                      <w:id w:val="1493358"/>
                    </w:sdtPr>
                    <w:sdtContent>
                      <w:p>
                        <w:pPr>
                          <w:pStyle w:val="3"/>
                          <w:ind w:firstLine="90" w:firstLineChars="50"/>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4 -</w:t>
                        </w:r>
                        <w:r>
                          <w:rPr>
                            <w:rFonts w:asciiTheme="minorEastAsia" w:hAnsiTheme="minorEastAsia"/>
                            <w:sz w:val="28"/>
                            <w:szCs w:val="28"/>
                          </w:rPr>
                          <w:fldChar w:fldCharType="end"/>
                        </w:r>
                      </w:p>
                    </w:sdtContent>
                  </w:sdt>
                  <w:p/>
                </w:txbxContent>
              </v:textbox>
            </v:shape>
          </w:pict>
        </mc:Fallback>
      </mc:AlternateContent>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1D9D5F"/>
    <w:multiLevelType w:val="singleLevel"/>
    <w:tmpl w:val="C01D9D5F"/>
    <w:lvl w:ilvl="0" w:tentative="0">
      <w:start w:val="2"/>
      <w:numFmt w:val="chineseCounting"/>
      <w:suff w:val="nothing"/>
      <w:lvlText w:val="（%1）"/>
      <w:lvlJc w:val="left"/>
      <w:rPr>
        <w:rFonts w:hint="eastAsia"/>
      </w:rPr>
    </w:lvl>
  </w:abstractNum>
  <w:abstractNum w:abstractNumId="1">
    <w:nsid w:val="3396CA68"/>
    <w:multiLevelType w:val="singleLevel"/>
    <w:tmpl w:val="3396CA68"/>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trackRevisions w:val="1"/>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9A6DC9"/>
    <w:rsid w:val="0045549F"/>
    <w:rsid w:val="005D0A96"/>
    <w:rsid w:val="00CB1BBD"/>
    <w:rsid w:val="00F20EB8"/>
    <w:rsid w:val="01324607"/>
    <w:rsid w:val="0153712C"/>
    <w:rsid w:val="01557DFA"/>
    <w:rsid w:val="01564F4C"/>
    <w:rsid w:val="01A830F7"/>
    <w:rsid w:val="01F43AAC"/>
    <w:rsid w:val="01FE04BF"/>
    <w:rsid w:val="029A6AD3"/>
    <w:rsid w:val="02D67D3D"/>
    <w:rsid w:val="02E203B9"/>
    <w:rsid w:val="03344B49"/>
    <w:rsid w:val="0468175D"/>
    <w:rsid w:val="046C6F34"/>
    <w:rsid w:val="05610A4C"/>
    <w:rsid w:val="059F3C71"/>
    <w:rsid w:val="05D56831"/>
    <w:rsid w:val="06241D88"/>
    <w:rsid w:val="065B255E"/>
    <w:rsid w:val="0665620B"/>
    <w:rsid w:val="069D6A1A"/>
    <w:rsid w:val="06AC28D4"/>
    <w:rsid w:val="0765305A"/>
    <w:rsid w:val="078E7506"/>
    <w:rsid w:val="079449C7"/>
    <w:rsid w:val="07BC07DA"/>
    <w:rsid w:val="081661C4"/>
    <w:rsid w:val="082C1A2C"/>
    <w:rsid w:val="0835072A"/>
    <w:rsid w:val="083F71E2"/>
    <w:rsid w:val="08551F03"/>
    <w:rsid w:val="0870624F"/>
    <w:rsid w:val="08787AC3"/>
    <w:rsid w:val="087A408A"/>
    <w:rsid w:val="08F27C42"/>
    <w:rsid w:val="09912232"/>
    <w:rsid w:val="09C72685"/>
    <w:rsid w:val="09D60655"/>
    <w:rsid w:val="09DD2E82"/>
    <w:rsid w:val="0A012DC5"/>
    <w:rsid w:val="0A0B13BB"/>
    <w:rsid w:val="0AAF4E25"/>
    <w:rsid w:val="0AB869F2"/>
    <w:rsid w:val="0ACE204B"/>
    <w:rsid w:val="0B2E3488"/>
    <w:rsid w:val="0B590EEB"/>
    <w:rsid w:val="0B74108E"/>
    <w:rsid w:val="0B745963"/>
    <w:rsid w:val="0BDA3456"/>
    <w:rsid w:val="0C31692C"/>
    <w:rsid w:val="0C575FDA"/>
    <w:rsid w:val="0C7E6230"/>
    <w:rsid w:val="0C9B1EB5"/>
    <w:rsid w:val="0CCA03AB"/>
    <w:rsid w:val="0CFE41B6"/>
    <w:rsid w:val="0D1F08C9"/>
    <w:rsid w:val="0D2F0E60"/>
    <w:rsid w:val="0D607B32"/>
    <w:rsid w:val="0D8D2357"/>
    <w:rsid w:val="0DC368DD"/>
    <w:rsid w:val="0DCC1E39"/>
    <w:rsid w:val="0E0A6964"/>
    <w:rsid w:val="0E1A4108"/>
    <w:rsid w:val="0EC31FCE"/>
    <w:rsid w:val="0F0419A4"/>
    <w:rsid w:val="0F1B0163"/>
    <w:rsid w:val="0F7D2C95"/>
    <w:rsid w:val="0FD9203F"/>
    <w:rsid w:val="100D491D"/>
    <w:rsid w:val="104E1C97"/>
    <w:rsid w:val="10650D48"/>
    <w:rsid w:val="10D009FF"/>
    <w:rsid w:val="113258BA"/>
    <w:rsid w:val="11777457"/>
    <w:rsid w:val="118B085E"/>
    <w:rsid w:val="11BE3B66"/>
    <w:rsid w:val="11E44C3A"/>
    <w:rsid w:val="12D710AB"/>
    <w:rsid w:val="132A76C5"/>
    <w:rsid w:val="13377559"/>
    <w:rsid w:val="135908D3"/>
    <w:rsid w:val="13F44A57"/>
    <w:rsid w:val="14370E79"/>
    <w:rsid w:val="143C48EB"/>
    <w:rsid w:val="1469008B"/>
    <w:rsid w:val="1578439D"/>
    <w:rsid w:val="159F5140"/>
    <w:rsid w:val="16501FB4"/>
    <w:rsid w:val="1692257F"/>
    <w:rsid w:val="169E0F10"/>
    <w:rsid w:val="16CF72E3"/>
    <w:rsid w:val="16F23F8D"/>
    <w:rsid w:val="1702689B"/>
    <w:rsid w:val="171E70F8"/>
    <w:rsid w:val="17CE272B"/>
    <w:rsid w:val="18FF6C26"/>
    <w:rsid w:val="19157529"/>
    <w:rsid w:val="19311BED"/>
    <w:rsid w:val="19575DEA"/>
    <w:rsid w:val="19B25BD5"/>
    <w:rsid w:val="19BF5D8A"/>
    <w:rsid w:val="1A107B98"/>
    <w:rsid w:val="1A684699"/>
    <w:rsid w:val="1A715665"/>
    <w:rsid w:val="1A855905"/>
    <w:rsid w:val="1A930784"/>
    <w:rsid w:val="1A944BAB"/>
    <w:rsid w:val="1AC81085"/>
    <w:rsid w:val="1B275266"/>
    <w:rsid w:val="1B456693"/>
    <w:rsid w:val="1B492C7D"/>
    <w:rsid w:val="1B9D1AEE"/>
    <w:rsid w:val="1B9E33AF"/>
    <w:rsid w:val="1C2805E8"/>
    <w:rsid w:val="1C286E41"/>
    <w:rsid w:val="1C2B6D07"/>
    <w:rsid w:val="1C93301B"/>
    <w:rsid w:val="1CA413A9"/>
    <w:rsid w:val="1CA94D6B"/>
    <w:rsid w:val="1D2B02A3"/>
    <w:rsid w:val="1D6A3015"/>
    <w:rsid w:val="1D997558"/>
    <w:rsid w:val="1DD05E1F"/>
    <w:rsid w:val="1DFA58C3"/>
    <w:rsid w:val="1E520275"/>
    <w:rsid w:val="1E5805F8"/>
    <w:rsid w:val="1E593526"/>
    <w:rsid w:val="1E707C1B"/>
    <w:rsid w:val="1E7D63A2"/>
    <w:rsid w:val="1E89598B"/>
    <w:rsid w:val="1EA11E1B"/>
    <w:rsid w:val="1EFA1C89"/>
    <w:rsid w:val="1F380F23"/>
    <w:rsid w:val="1FA520AA"/>
    <w:rsid w:val="1FBA7C3E"/>
    <w:rsid w:val="205B7531"/>
    <w:rsid w:val="20655319"/>
    <w:rsid w:val="20A44EFC"/>
    <w:rsid w:val="20AA07A9"/>
    <w:rsid w:val="21002CE1"/>
    <w:rsid w:val="21746829"/>
    <w:rsid w:val="217B7256"/>
    <w:rsid w:val="21C20E13"/>
    <w:rsid w:val="21D75C3D"/>
    <w:rsid w:val="21ED436C"/>
    <w:rsid w:val="22267907"/>
    <w:rsid w:val="228C36E3"/>
    <w:rsid w:val="22DC1A90"/>
    <w:rsid w:val="232207F2"/>
    <w:rsid w:val="234B63AA"/>
    <w:rsid w:val="23EE4482"/>
    <w:rsid w:val="247649FA"/>
    <w:rsid w:val="249625A7"/>
    <w:rsid w:val="24C31890"/>
    <w:rsid w:val="251A4BEF"/>
    <w:rsid w:val="25404C54"/>
    <w:rsid w:val="2545537D"/>
    <w:rsid w:val="254C1D5A"/>
    <w:rsid w:val="25584BF8"/>
    <w:rsid w:val="25682D06"/>
    <w:rsid w:val="25926ED2"/>
    <w:rsid w:val="25CD507A"/>
    <w:rsid w:val="267E458B"/>
    <w:rsid w:val="26AE036F"/>
    <w:rsid w:val="26CE4C3A"/>
    <w:rsid w:val="27FB208F"/>
    <w:rsid w:val="281329FD"/>
    <w:rsid w:val="28424E0D"/>
    <w:rsid w:val="285A1909"/>
    <w:rsid w:val="28E70500"/>
    <w:rsid w:val="290B2554"/>
    <w:rsid w:val="294157FC"/>
    <w:rsid w:val="29CC6185"/>
    <w:rsid w:val="2A1D7F58"/>
    <w:rsid w:val="2A3C1E0A"/>
    <w:rsid w:val="2A3E7BAD"/>
    <w:rsid w:val="2A9D0A54"/>
    <w:rsid w:val="2B091D49"/>
    <w:rsid w:val="2B4A0B93"/>
    <w:rsid w:val="2B4D06A0"/>
    <w:rsid w:val="2B996B4D"/>
    <w:rsid w:val="2BFC3290"/>
    <w:rsid w:val="2C2A10A7"/>
    <w:rsid w:val="2C613F25"/>
    <w:rsid w:val="2C663616"/>
    <w:rsid w:val="2D0275FB"/>
    <w:rsid w:val="2D030496"/>
    <w:rsid w:val="2D415177"/>
    <w:rsid w:val="2D4A46F0"/>
    <w:rsid w:val="2D9D78F9"/>
    <w:rsid w:val="2DED75B4"/>
    <w:rsid w:val="2E237E51"/>
    <w:rsid w:val="2E8207CC"/>
    <w:rsid w:val="2E9B0FA4"/>
    <w:rsid w:val="2EBA19FE"/>
    <w:rsid w:val="2F30726E"/>
    <w:rsid w:val="2F39765C"/>
    <w:rsid w:val="2F6F728A"/>
    <w:rsid w:val="2F8B20D9"/>
    <w:rsid w:val="2FC1384E"/>
    <w:rsid w:val="30285198"/>
    <w:rsid w:val="311B578F"/>
    <w:rsid w:val="319653CE"/>
    <w:rsid w:val="321E4BE5"/>
    <w:rsid w:val="324900A5"/>
    <w:rsid w:val="32514F6F"/>
    <w:rsid w:val="329C1AAB"/>
    <w:rsid w:val="32F91F1A"/>
    <w:rsid w:val="32FA251D"/>
    <w:rsid w:val="33032E2D"/>
    <w:rsid w:val="33B03D2B"/>
    <w:rsid w:val="33DA370A"/>
    <w:rsid w:val="34446C52"/>
    <w:rsid w:val="34693E18"/>
    <w:rsid w:val="346D4E2F"/>
    <w:rsid w:val="34B24D17"/>
    <w:rsid w:val="350279FE"/>
    <w:rsid w:val="3564401F"/>
    <w:rsid w:val="35842F0F"/>
    <w:rsid w:val="35867B44"/>
    <w:rsid w:val="35A369BF"/>
    <w:rsid w:val="35C90592"/>
    <w:rsid w:val="35E861EE"/>
    <w:rsid w:val="3631550F"/>
    <w:rsid w:val="365B481C"/>
    <w:rsid w:val="37EB1C3D"/>
    <w:rsid w:val="38C52B16"/>
    <w:rsid w:val="38CA7303"/>
    <w:rsid w:val="38E80B66"/>
    <w:rsid w:val="390051A6"/>
    <w:rsid w:val="39F40AC8"/>
    <w:rsid w:val="39FB782A"/>
    <w:rsid w:val="3A077C44"/>
    <w:rsid w:val="3A4E385A"/>
    <w:rsid w:val="3A911988"/>
    <w:rsid w:val="3AAF30D8"/>
    <w:rsid w:val="3AFC3E9D"/>
    <w:rsid w:val="3B2F4A2E"/>
    <w:rsid w:val="3B604E8F"/>
    <w:rsid w:val="3BD515EA"/>
    <w:rsid w:val="3BF432D8"/>
    <w:rsid w:val="3C054AFC"/>
    <w:rsid w:val="3C067F9A"/>
    <w:rsid w:val="3C302112"/>
    <w:rsid w:val="3C9160B5"/>
    <w:rsid w:val="3CB27D6E"/>
    <w:rsid w:val="3CBF22D7"/>
    <w:rsid w:val="3CC228DA"/>
    <w:rsid w:val="3CEF6ED7"/>
    <w:rsid w:val="3D562FCF"/>
    <w:rsid w:val="3DE1175E"/>
    <w:rsid w:val="3E1D2313"/>
    <w:rsid w:val="3F21380E"/>
    <w:rsid w:val="3F2B55FD"/>
    <w:rsid w:val="3F3D45B4"/>
    <w:rsid w:val="3F50728A"/>
    <w:rsid w:val="3F643FDB"/>
    <w:rsid w:val="3F7F06D8"/>
    <w:rsid w:val="3FA7699A"/>
    <w:rsid w:val="3FEB4E0E"/>
    <w:rsid w:val="3FFD46E5"/>
    <w:rsid w:val="400173AD"/>
    <w:rsid w:val="40365704"/>
    <w:rsid w:val="405416E9"/>
    <w:rsid w:val="405B253D"/>
    <w:rsid w:val="406665E5"/>
    <w:rsid w:val="41782C3C"/>
    <w:rsid w:val="41A17435"/>
    <w:rsid w:val="41E4456D"/>
    <w:rsid w:val="41E70E32"/>
    <w:rsid w:val="425642A4"/>
    <w:rsid w:val="4259041A"/>
    <w:rsid w:val="425C602B"/>
    <w:rsid w:val="4289732D"/>
    <w:rsid w:val="42D27D5D"/>
    <w:rsid w:val="42F854AA"/>
    <w:rsid w:val="42FA0701"/>
    <w:rsid w:val="436F0C92"/>
    <w:rsid w:val="43F352D6"/>
    <w:rsid w:val="440E25D1"/>
    <w:rsid w:val="445319DB"/>
    <w:rsid w:val="44E12528"/>
    <w:rsid w:val="44E226EF"/>
    <w:rsid w:val="44ED16CB"/>
    <w:rsid w:val="45581842"/>
    <w:rsid w:val="45752F0D"/>
    <w:rsid w:val="45B03FAB"/>
    <w:rsid w:val="462250E0"/>
    <w:rsid w:val="46235958"/>
    <w:rsid w:val="462D13A5"/>
    <w:rsid w:val="467C27A1"/>
    <w:rsid w:val="46D02000"/>
    <w:rsid w:val="46D14E66"/>
    <w:rsid w:val="46F23651"/>
    <w:rsid w:val="47820339"/>
    <w:rsid w:val="478669AF"/>
    <w:rsid w:val="47A035BA"/>
    <w:rsid w:val="47B24C73"/>
    <w:rsid w:val="47C5176B"/>
    <w:rsid w:val="47DE0DEE"/>
    <w:rsid w:val="47E1652C"/>
    <w:rsid w:val="483345B9"/>
    <w:rsid w:val="48416E33"/>
    <w:rsid w:val="489A7C72"/>
    <w:rsid w:val="48FA5EAE"/>
    <w:rsid w:val="490201C9"/>
    <w:rsid w:val="49150978"/>
    <w:rsid w:val="4918074B"/>
    <w:rsid w:val="49254E2D"/>
    <w:rsid w:val="493B4B18"/>
    <w:rsid w:val="4969264E"/>
    <w:rsid w:val="496C04DD"/>
    <w:rsid w:val="49DC2690"/>
    <w:rsid w:val="49F70F60"/>
    <w:rsid w:val="4A6C326D"/>
    <w:rsid w:val="4A8A3A47"/>
    <w:rsid w:val="4AA30D58"/>
    <w:rsid w:val="4AB83F5E"/>
    <w:rsid w:val="4AB95E27"/>
    <w:rsid w:val="4AC9329E"/>
    <w:rsid w:val="4AFB0C8E"/>
    <w:rsid w:val="4B290E0E"/>
    <w:rsid w:val="4B3628C7"/>
    <w:rsid w:val="4BC56F5C"/>
    <w:rsid w:val="4BD679A9"/>
    <w:rsid w:val="4BF14576"/>
    <w:rsid w:val="4C060F82"/>
    <w:rsid w:val="4CE01973"/>
    <w:rsid w:val="4CF12B46"/>
    <w:rsid w:val="4D90449B"/>
    <w:rsid w:val="4DCF0A07"/>
    <w:rsid w:val="4DE76484"/>
    <w:rsid w:val="4DFC6787"/>
    <w:rsid w:val="4E442EF6"/>
    <w:rsid w:val="4E5B414C"/>
    <w:rsid w:val="4E5B67D4"/>
    <w:rsid w:val="4E6F7CCA"/>
    <w:rsid w:val="4E8C30F6"/>
    <w:rsid w:val="4EB910CD"/>
    <w:rsid w:val="4EE35531"/>
    <w:rsid w:val="4F621FD7"/>
    <w:rsid w:val="4FAE1475"/>
    <w:rsid w:val="501E2D0D"/>
    <w:rsid w:val="50A63351"/>
    <w:rsid w:val="50E51BED"/>
    <w:rsid w:val="513B2069"/>
    <w:rsid w:val="514860A0"/>
    <w:rsid w:val="51AB2BF6"/>
    <w:rsid w:val="51CA5547"/>
    <w:rsid w:val="51E6261C"/>
    <w:rsid w:val="524E2D51"/>
    <w:rsid w:val="52726AD6"/>
    <w:rsid w:val="52D52118"/>
    <w:rsid w:val="534F11B7"/>
    <w:rsid w:val="53691BD9"/>
    <w:rsid w:val="53DD2D02"/>
    <w:rsid w:val="53E31CD4"/>
    <w:rsid w:val="53ED676A"/>
    <w:rsid w:val="54232518"/>
    <w:rsid w:val="54365282"/>
    <w:rsid w:val="54CC3BF2"/>
    <w:rsid w:val="55A97652"/>
    <w:rsid w:val="55D06FED"/>
    <w:rsid w:val="55D569A2"/>
    <w:rsid w:val="55EB7FE7"/>
    <w:rsid w:val="55FE2BC3"/>
    <w:rsid w:val="56382E2C"/>
    <w:rsid w:val="5643160A"/>
    <w:rsid w:val="564326AC"/>
    <w:rsid w:val="568D6690"/>
    <w:rsid w:val="56B96D0C"/>
    <w:rsid w:val="57282C08"/>
    <w:rsid w:val="574E2F45"/>
    <w:rsid w:val="5758708B"/>
    <w:rsid w:val="575A26B5"/>
    <w:rsid w:val="577829D4"/>
    <w:rsid w:val="57CF2C5F"/>
    <w:rsid w:val="584F0A72"/>
    <w:rsid w:val="588C4C03"/>
    <w:rsid w:val="59096879"/>
    <w:rsid w:val="594A3702"/>
    <w:rsid w:val="5967518E"/>
    <w:rsid w:val="598160BD"/>
    <w:rsid w:val="59B97D3C"/>
    <w:rsid w:val="5A315DD2"/>
    <w:rsid w:val="5AA41164"/>
    <w:rsid w:val="5B7C741D"/>
    <w:rsid w:val="5BAB20B1"/>
    <w:rsid w:val="5BFF4F99"/>
    <w:rsid w:val="5C0C49CB"/>
    <w:rsid w:val="5C3359C0"/>
    <w:rsid w:val="5C975D7C"/>
    <w:rsid w:val="5CA61DC9"/>
    <w:rsid w:val="5CB3583C"/>
    <w:rsid w:val="5CC56589"/>
    <w:rsid w:val="5D1C0E05"/>
    <w:rsid w:val="5D6E7BD0"/>
    <w:rsid w:val="5D815281"/>
    <w:rsid w:val="5D9A6DC9"/>
    <w:rsid w:val="5DEB39C5"/>
    <w:rsid w:val="5DF27B3D"/>
    <w:rsid w:val="5E182630"/>
    <w:rsid w:val="5E305513"/>
    <w:rsid w:val="5E4B5188"/>
    <w:rsid w:val="5E8672AE"/>
    <w:rsid w:val="5ECA67A8"/>
    <w:rsid w:val="5EFB0A2D"/>
    <w:rsid w:val="5FD868A9"/>
    <w:rsid w:val="60134586"/>
    <w:rsid w:val="601D5DEF"/>
    <w:rsid w:val="603A6B29"/>
    <w:rsid w:val="603D17AC"/>
    <w:rsid w:val="607C6770"/>
    <w:rsid w:val="609F5790"/>
    <w:rsid w:val="614264FD"/>
    <w:rsid w:val="61783B45"/>
    <w:rsid w:val="61793381"/>
    <w:rsid w:val="617972AA"/>
    <w:rsid w:val="62261BA5"/>
    <w:rsid w:val="62740083"/>
    <w:rsid w:val="6290642F"/>
    <w:rsid w:val="62D3127D"/>
    <w:rsid w:val="62D673F2"/>
    <w:rsid w:val="63030DF9"/>
    <w:rsid w:val="63107631"/>
    <w:rsid w:val="63AD7F57"/>
    <w:rsid w:val="63BB0696"/>
    <w:rsid w:val="63BD7A8B"/>
    <w:rsid w:val="63F53F8D"/>
    <w:rsid w:val="64064D7A"/>
    <w:rsid w:val="642E51CB"/>
    <w:rsid w:val="646D7252"/>
    <w:rsid w:val="647B34A8"/>
    <w:rsid w:val="647D1200"/>
    <w:rsid w:val="64E91C4F"/>
    <w:rsid w:val="6505198A"/>
    <w:rsid w:val="6553617D"/>
    <w:rsid w:val="65992BD3"/>
    <w:rsid w:val="666A5375"/>
    <w:rsid w:val="666C0E82"/>
    <w:rsid w:val="66EA5B66"/>
    <w:rsid w:val="67407CF4"/>
    <w:rsid w:val="67B00544"/>
    <w:rsid w:val="680B1BAF"/>
    <w:rsid w:val="68AA32E3"/>
    <w:rsid w:val="68B45130"/>
    <w:rsid w:val="68E27495"/>
    <w:rsid w:val="68E92ABF"/>
    <w:rsid w:val="693F662D"/>
    <w:rsid w:val="696D6BC0"/>
    <w:rsid w:val="698F6CC8"/>
    <w:rsid w:val="699C1482"/>
    <w:rsid w:val="69A336C0"/>
    <w:rsid w:val="69C46948"/>
    <w:rsid w:val="69EE43F8"/>
    <w:rsid w:val="6A5216AA"/>
    <w:rsid w:val="6A5339BD"/>
    <w:rsid w:val="6A7417ED"/>
    <w:rsid w:val="6A7C74A4"/>
    <w:rsid w:val="6AC3229F"/>
    <w:rsid w:val="6AD82BDC"/>
    <w:rsid w:val="6AE74325"/>
    <w:rsid w:val="6AE96001"/>
    <w:rsid w:val="6B1A51C2"/>
    <w:rsid w:val="6B317414"/>
    <w:rsid w:val="6B4D36B5"/>
    <w:rsid w:val="6B8528AC"/>
    <w:rsid w:val="6B887186"/>
    <w:rsid w:val="6BA076EA"/>
    <w:rsid w:val="6BC67528"/>
    <w:rsid w:val="6BF42A0B"/>
    <w:rsid w:val="6C371226"/>
    <w:rsid w:val="6CAA06F8"/>
    <w:rsid w:val="6D2A152B"/>
    <w:rsid w:val="6D2C4A5F"/>
    <w:rsid w:val="6D346E3B"/>
    <w:rsid w:val="6D6852D9"/>
    <w:rsid w:val="6DA42453"/>
    <w:rsid w:val="6DC70EA5"/>
    <w:rsid w:val="6E03185F"/>
    <w:rsid w:val="6E277FE2"/>
    <w:rsid w:val="6E660633"/>
    <w:rsid w:val="6E765B88"/>
    <w:rsid w:val="6E7A5AFF"/>
    <w:rsid w:val="6EEC4A56"/>
    <w:rsid w:val="6FC07833"/>
    <w:rsid w:val="6FCC51A7"/>
    <w:rsid w:val="6FF66A9C"/>
    <w:rsid w:val="702F1379"/>
    <w:rsid w:val="7049422F"/>
    <w:rsid w:val="711B1E16"/>
    <w:rsid w:val="713A1AD4"/>
    <w:rsid w:val="713E511C"/>
    <w:rsid w:val="71443D24"/>
    <w:rsid w:val="71776F9C"/>
    <w:rsid w:val="717C4932"/>
    <w:rsid w:val="71D32D1A"/>
    <w:rsid w:val="724A2B1C"/>
    <w:rsid w:val="724B55E1"/>
    <w:rsid w:val="72A87F6F"/>
    <w:rsid w:val="72B35192"/>
    <w:rsid w:val="72E34ABE"/>
    <w:rsid w:val="72F151E9"/>
    <w:rsid w:val="73212405"/>
    <w:rsid w:val="7324338A"/>
    <w:rsid w:val="73475202"/>
    <w:rsid w:val="736203F3"/>
    <w:rsid w:val="7424099E"/>
    <w:rsid w:val="74416345"/>
    <w:rsid w:val="748964F2"/>
    <w:rsid w:val="74A744E0"/>
    <w:rsid w:val="74DC55DA"/>
    <w:rsid w:val="757A3BFE"/>
    <w:rsid w:val="7690614D"/>
    <w:rsid w:val="76EE0B64"/>
    <w:rsid w:val="772771D3"/>
    <w:rsid w:val="776037CE"/>
    <w:rsid w:val="77C005D1"/>
    <w:rsid w:val="77C06373"/>
    <w:rsid w:val="77D500D2"/>
    <w:rsid w:val="78641642"/>
    <w:rsid w:val="789839C4"/>
    <w:rsid w:val="78DF4752"/>
    <w:rsid w:val="78F57769"/>
    <w:rsid w:val="795169B7"/>
    <w:rsid w:val="795D5827"/>
    <w:rsid w:val="797438DA"/>
    <w:rsid w:val="7990555A"/>
    <w:rsid w:val="79923BCE"/>
    <w:rsid w:val="79C73E06"/>
    <w:rsid w:val="79D57719"/>
    <w:rsid w:val="7A472D8C"/>
    <w:rsid w:val="7AC14A5D"/>
    <w:rsid w:val="7AE57B1D"/>
    <w:rsid w:val="7AFB3124"/>
    <w:rsid w:val="7B08509D"/>
    <w:rsid w:val="7B3B128B"/>
    <w:rsid w:val="7BDC067F"/>
    <w:rsid w:val="7C522D8F"/>
    <w:rsid w:val="7CDE7461"/>
    <w:rsid w:val="7D1B5B60"/>
    <w:rsid w:val="7D246B3E"/>
    <w:rsid w:val="7D4F1F52"/>
    <w:rsid w:val="7D684C87"/>
    <w:rsid w:val="7DA8005E"/>
    <w:rsid w:val="7DB613E2"/>
    <w:rsid w:val="7DE274DC"/>
    <w:rsid w:val="7E5619C3"/>
    <w:rsid w:val="7ECD2429"/>
    <w:rsid w:val="7F1B76AC"/>
    <w:rsid w:val="7F2E33D9"/>
    <w:rsid w:val="7F695DF1"/>
    <w:rsid w:val="7F6B05A9"/>
    <w:rsid w:val="7F8A639E"/>
    <w:rsid w:val="7F9B0DE4"/>
    <w:rsid w:val="7FD333B3"/>
    <w:rsid w:val="7FD54164"/>
    <w:rsid w:val="7FDB6292"/>
    <w:rsid w:val="7FDF6D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2018-12-16T14:47:00Z</dcterms:created>
  <dc:creator>YK</dc:creator>
  <cp:lastModifiedBy>黄钦俊</cp:lastModifiedBy>
  <dcterms:modified xsi:type="dcterms:W3CDTF">2019-02-26T02:47:48Z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